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20E6C22"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9D4EE4">
        <w:rPr>
          <w:rFonts w:cs="Courier New"/>
          <w:sz w:val="24"/>
          <w:szCs w:val="24"/>
          <w:lang w:val="de-DE"/>
        </w:rPr>
        <w:t>8</w:t>
      </w:r>
      <w:r w:rsidR="004E6A15">
        <w:rPr>
          <w:rFonts w:cs="Courier New"/>
          <w:sz w:val="24"/>
          <w:szCs w:val="24"/>
          <w:lang w:val="de-DE"/>
        </w:rPr>
        <w:tab/>
      </w:r>
      <w:r w:rsidR="00F41BF5" w:rsidRPr="00F41BF5">
        <w:rPr>
          <w:rFonts w:cs="Courier New"/>
          <w:sz w:val="24"/>
          <w:szCs w:val="24"/>
          <w:lang w:val="de-DE"/>
        </w:rPr>
        <w:t>R4-1811102</w:t>
      </w:r>
      <w:bookmarkStart w:id="0" w:name="_GoBack"/>
      <w:bookmarkEnd w:id="0"/>
    </w:p>
    <w:p w14:paraId="7E429E56" w14:textId="40B4AFB0" w:rsidR="003D6099" w:rsidRDefault="009D4EE4" w:rsidP="003D6099">
      <w:pPr>
        <w:pStyle w:val="Header"/>
        <w:jc w:val="both"/>
        <w:rPr>
          <w:rFonts w:cs="Courier New"/>
          <w:sz w:val="24"/>
          <w:szCs w:val="24"/>
        </w:rPr>
      </w:pPr>
      <w:r>
        <w:rPr>
          <w:rFonts w:cs="Courier New"/>
          <w:sz w:val="24"/>
          <w:szCs w:val="24"/>
        </w:rPr>
        <w:t>Goteborg</w:t>
      </w:r>
      <w:r w:rsidR="003D6099">
        <w:rPr>
          <w:rFonts w:cs="Courier New"/>
          <w:sz w:val="24"/>
          <w:szCs w:val="24"/>
        </w:rPr>
        <w:t xml:space="preserve">, </w:t>
      </w:r>
      <w:r>
        <w:rPr>
          <w:rFonts w:cs="Courier New"/>
          <w:sz w:val="24"/>
          <w:szCs w:val="24"/>
        </w:rPr>
        <w:t>Sweden</w:t>
      </w:r>
      <w:r w:rsidR="003D6099">
        <w:rPr>
          <w:rFonts w:cs="Courier New"/>
          <w:sz w:val="24"/>
          <w:szCs w:val="24"/>
        </w:rPr>
        <w:t>,</w:t>
      </w:r>
      <w:r w:rsidR="003D6099" w:rsidRPr="00BB2C23">
        <w:rPr>
          <w:rFonts w:cs="Courier New"/>
          <w:sz w:val="24"/>
          <w:szCs w:val="24"/>
        </w:rPr>
        <w:t xml:space="preserve"> </w:t>
      </w:r>
      <w:r>
        <w:rPr>
          <w:rFonts w:cs="Courier New"/>
          <w:sz w:val="24"/>
          <w:szCs w:val="24"/>
        </w:rPr>
        <w:t>August</w:t>
      </w:r>
      <w:r w:rsidR="003D6099">
        <w:rPr>
          <w:rFonts w:cs="Courier New"/>
          <w:sz w:val="24"/>
          <w:szCs w:val="24"/>
        </w:rPr>
        <w:t xml:space="preserve"> </w:t>
      </w:r>
      <w:r>
        <w:rPr>
          <w:rFonts w:cs="Courier New"/>
          <w:sz w:val="24"/>
          <w:szCs w:val="24"/>
        </w:rPr>
        <w:t>20</w:t>
      </w:r>
      <w:r w:rsidR="003D6099" w:rsidRPr="00E13AFB">
        <w:rPr>
          <w:rFonts w:cs="Courier New"/>
          <w:sz w:val="24"/>
          <w:szCs w:val="24"/>
          <w:vertAlign w:val="superscript"/>
        </w:rPr>
        <w:t>th</w:t>
      </w:r>
      <w:r w:rsidR="003D6099">
        <w:rPr>
          <w:rFonts w:cs="Courier New"/>
          <w:sz w:val="24"/>
          <w:szCs w:val="24"/>
        </w:rPr>
        <w:t xml:space="preserve"> </w:t>
      </w:r>
      <w:r w:rsidR="003D6099" w:rsidRPr="00DB3907">
        <w:rPr>
          <w:rFonts w:cs="Courier New"/>
          <w:sz w:val="24"/>
          <w:szCs w:val="24"/>
        </w:rPr>
        <w:t xml:space="preserve">– </w:t>
      </w:r>
      <w:r w:rsidR="003D6099">
        <w:rPr>
          <w:rFonts w:cs="Courier New"/>
          <w:sz w:val="24"/>
          <w:szCs w:val="24"/>
        </w:rPr>
        <w:t>2</w:t>
      </w:r>
      <w:r>
        <w:rPr>
          <w:rFonts w:cs="Courier New"/>
          <w:sz w:val="24"/>
          <w:szCs w:val="24"/>
        </w:rPr>
        <w:t>4</w:t>
      </w:r>
      <w:r w:rsidR="003D6099" w:rsidRPr="00F134A6">
        <w:rPr>
          <w:rFonts w:cs="Courier New"/>
          <w:sz w:val="24"/>
          <w:szCs w:val="24"/>
          <w:vertAlign w:val="superscript"/>
        </w:rPr>
        <w:t>th</w:t>
      </w:r>
      <w:r w:rsidR="003D6099">
        <w:rPr>
          <w:rFonts w:cs="Courier New"/>
          <w:sz w:val="24"/>
          <w:szCs w:val="24"/>
        </w:rPr>
        <w:t>, 2018</w:t>
      </w:r>
    </w:p>
    <w:p w14:paraId="265D6182" w14:textId="77777777" w:rsidR="007E700B" w:rsidRPr="00F56E56" w:rsidRDefault="007E700B"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53E8AA1"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E700B">
        <w:rPr>
          <w:rFonts w:ascii="Arial" w:hAnsi="Arial"/>
          <w:sz w:val="24"/>
          <w:lang w:val="en-US"/>
        </w:rPr>
        <w:t>7.</w:t>
      </w:r>
      <w:r w:rsidR="00F41BF5">
        <w:rPr>
          <w:rFonts w:ascii="Arial" w:hAnsi="Arial"/>
          <w:sz w:val="24"/>
          <w:lang w:val="en-US"/>
        </w:rPr>
        <w:t>6</w:t>
      </w:r>
      <w:r w:rsidR="007E700B">
        <w:rPr>
          <w:rFonts w:ascii="Arial" w:hAnsi="Arial"/>
          <w:sz w:val="24"/>
          <w:lang w:val="en-US"/>
        </w:rPr>
        <w:t>.</w:t>
      </w:r>
      <w:r w:rsidR="00F41BF5">
        <w:rPr>
          <w:rFonts w:ascii="Arial" w:hAnsi="Arial"/>
          <w:sz w:val="24"/>
          <w:lang w:val="en-US"/>
        </w:rPr>
        <w:t>16</w:t>
      </w:r>
      <w:r w:rsidR="007E700B">
        <w:rPr>
          <w:rFonts w:ascii="Arial" w:hAnsi="Arial"/>
          <w:sz w:val="24"/>
          <w:lang w:val="en-US"/>
        </w:rPr>
        <w:t>.9</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38C076E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700B">
        <w:rPr>
          <w:rFonts w:ascii="Arial" w:hAnsi="Arial"/>
          <w:sz w:val="24"/>
          <w:lang w:val="en-US"/>
        </w:rPr>
        <w:t xml:space="preserve">UE power back-off for protection of </w:t>
      </w:r>
      <w:r w:rsidR="00DE3A64">
        <w:rPr>
          <w:rFonts w:ascii="Arial" w:hAnsi="Arial"/>
          <w:sz w:val="24"/>
          <w:lang w:val="en-US"/>
        </w:rPr>
        <w:t>EESS operating in 23.6-24GHz</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3C503B00" w14:textId="32F99B96" w:rsidR="00D85C68" w:rsidRPr="00A23B5A" w:rsidRDefault="00545241" w:rsidP="00D85C68">
      <w:pPr>
        <w:jc w:val="both"/>
        <w:rPr>
          <w:b/>
        </w:rPr>
      </w:pPr>
      <w:r>
        <w:t xml:space="preserve">In this contribution we focus on the additional spurious emission requirements needed to protect passive services operating in </w:t>
      </w:r>
      <w:proofErr w:type="spellStart"/>
      <w:r>
        <w:t>millimiter</w:t>
      </w:r>
      <w:proofErr w:type="spellEnd"/>
      <w:r>
        <w:t xml:space="preserve"> (</w:t>
      </w:r>
      <w:proofErr w:type="spellStart"/>
      <w:r>
        <w:t>mmW</w:t>
      </w:r>
      <w:proofErr w:type="spellEnd"/>
      <w:r>
        <w:t xml:space="preserve">) frequency ranges. </w:t>
      </w:r>
      <w:r w:rsidR="00DE3A64">
        <w:t xml:space="preserve">ECC recently approved the decision on European 26GHz band (i.e. n258) </w:t>
      </w:r>
      <w:r w:rsidR="00DE3A64">
        <w:fldChar w:fldCharType="begin"/>
      </w:r>
      <w:r w:rsidR="00DE3A64">
        <w:instrText xml:space="preserve"> REF _Ref520215594 \r \h </w:instrText>
      </w:r>
      <w:r w:rsidR="00DE3A64">
        <w:fldChar w:fldCharType="separate"/>
      </w:r>
      <w:r w:rsidR="00CE379E">
        <w:t>[1]</w:t>
      </w:r>
      <w:r w:rsidR="00DE3A64">
        <w:fldChar w:fldCharType="end"/>
      </w:r>
      <w:r w:rsidR="00DE3A64">
        <w:t xml:space="preserve">. In the decision a specific value for protection of satellite passive services operating in 23.6-24GHz frequency range was approved. </w:t>
      </w:r>
      <w:r w:rsidR="007E700B">
        <w:t xml:space="preserve">In this paper we refine our analysis presented in </w:t>
      </w:r>
      <w:r w:rsidR="00DE3A64">
        <w:fldChar w:fldCharType="begin"/>
      </w:r>
      <w:r w:rsidR="00DE3A64">
        <w:instrText xml:space="preserve"> REF _Ref520215609 \r \h </w:instrText>
      </w:r>
      <w:r w:rsidR="00DE3A64">
        <w:fldChar w:fldCharType="separate"/>
      </w:r>
      <w:r w:rsidR="00CE379E">
        <w:t>[2]</w:t>
      </w:r>
      <w:r w:rsidR="00DE3A64">
        <w:fldChar w:fldCharType="end"/>
      </w:r>
      <w:r w:rsidR="007E700B">
        <w:t xml:space="preserve"> and we</w:t>
      </w:r>
      <w:r>
        <w:t xml:space="preserve"> estimate the amount of power reduction needed to meet </w:t>
      </w:r>
      <w:r w:rsidR="00DE3A64">
        <w:t>the</w:t>
      </w:r>
      <w:r>
        <w:t xml:space="preserve"> emission level over the passive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236A61FD" w14:textId="6F67DB79" w:rsidR="007E700B" w:rsidRPr="00ED000E" w:rsidRDefault="00DE3A64" w:rsidP="002E6767">
      <w:pPr>
        <w:jc w:val="both"/>
        <w:rPr>
          <w:color w:val="000000"/>
        </w:rPr>
      </w:pPr>
      <w:r>
        <w:rPr>
          <w:lang w:val="en-US"/>
        </w:rPr>
        <w:t xml:space="preserve">ECC decision for </w:t>
      </w:r>
      <w:proofErr w:type="spellStart"/>
      <w:r w:rsidRPr="00A460E2">
        <w:rPr>
          <w:i/>
          <w:lang w:val="en-US"/>
        </w:rPr>
        <w:t>Harmonised</w:t>
      </w:r>
      <w:proofErr w:type="spellEnd"/>
      <w:r w:rsidRPr="00A460E2">
        <w:rPr>
          <w:i/>
          <w:lang w:val="en-US"/>
        </w:rPr>
        <w:t xml:space="preserve"> technical conditions for Mobile/Fixed Communications Networks (MFCN) in the band 24.25-27.5 GHz</w:t>
      </w:r>
      <w:r>
        <w:rPr>
          <w:lang w:val="en-US"/>
        </w:rPr>
        <w:t xml:space="preserve"> was approved ECC meeting #48 held in Rome</w:t>
      </w:r>
      <w:r w:rsidR="007E700B">
        <w:rPr>
          <w:color w:val="000000"/>
        </w:rPr>
        <w:t xml:space="preserve">. </w:t>
      </w:r>
      <w:r>
        <w:rPr>
          <w:color w:val="000000"/>
        </w:rPr>
        <w:t xml:space="preserve">The decision </w:t>
      </w:r>
      <w:proofErr w:type="gramStart"/>
      <w:r>
        <w:rPr>
          <w:color w:val="000000"/>
        </w:rPr>
        <w:t>define</w:t>
      </w:r>
      <w:proofErr w:type="gramEnd"/>
      <w:r>
        <w:rPr>
          <w:color w:val="000000"/>
        </w:rPr>
        <w:t xml:space="preserve"> the technical requirements for operating in band n258 in Europe. </w:t>
      </w:r>
      <w:r w:rsidR="00491AD9">
        <w:rPr>
          <w:color w:val="000000"/>
        </w:rPr>
        <w:t xml:space="preserve">Regarding the protection of EESS passive satellites operating in 23.6-24GHz band, two emission levels were approved, for BS and UE, respectively. </w:t>
      </w:r>
    </w:p>
    <w:p w14:paraId="70C01C92" w14:textId="2C211243" w:rsidR="00EB08D7" w:rsidRDefault="00EB08D7" w:rsidP="00A460E2">
      <w:pPr>
        <w:pStyle w:val="Caption"/>
        <w:keepNext/>
        <w:jc w:val="center"/>
      </w:pPr>
      <w:bookmarkStart w:id="2" w:name="_Ref520216098"/>
      <w:r>
        <w:t xml:space="preserve">Table </w:t>
      </w:r>
      <w:r>
        <w:fldChar w:fldCharType="begin"/>
      </w:r>
      <w:r>
        <w:instrText xml:space="preserve"> SEQ Table \* ARABIC </w:instrText>
      </w:r>
      <w:r>
        <w:fldChar w:fldCharType="separate"/>
      </w:r>
      <w:r w:rsidR="00CE379E">
        <w:rPr>
          <w:noProof/>
        </w:rPr>
        <w:t>1</w:t>
      </w:r>
      <w:r>
        <w:fldChar w:fldCharType="end"/>
      </w:r>
      <w:bookmarkEnd w:id="2"/>
      <w:r>
        <w:t xml:space="preserve">. </w:t>
      </w:r>
      <w:r w:rsidRPr="006051AF">
        <w:t>MFCN BS additional baseline requirement: maximum emissions into the 23.6-24.0 GHz band</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118"/>
        <w:gridCol w:w="3261"/>
        <w:gridCol w:w="2693"/>
      </w:tblGrid>
      <w:tr w:rsidR="00491AD9" w:rsidRPr="00BF392C" w14:paraId="78A28976" w14:textId="77777777" w:rsidTr="00AF52A9">
        <w:trPr>
          <w:tblHeader/>
        </w:trPr>
        <w:tc>
          <w:tcPr>
            <w:tcW w:w="3118" w:type="dxa"/>
            <w:tcBorders>
              <w:top w:val="single" w:sz="4" w:space="0" w:color="D2232A"/>
              <w:left w:val="single" w:sz="4" w:space="0" w:color="D2232A"/>
              <w:bottom w:val="single" w:sz="4" w:space="0" w:color="D2232A"/>
              <w:right w:val="single" w:sz="8" w:space="0" w:color="FFFFFF"/>
            </w:tcBorders>
            <w:shd w:val="clear" w:color="auto" w:fill="D2232A"/>
            <w:vAlign w:val="center"/>
          </w:tcPr>
          <w:p w14:paraId="3083E7DB" w14:textId="77777777" w:rsidR="00491AD9" w:rsidRPr="00BF392C" w:rsidRDefault="00491AD9" w:rsidP="00AF52A9">
            <w:pPr>
              <w:keepNext/>
              <w:spacing w:before="60" w:after="60" w:line="288" w:lineRule="auto"/>
              <w:jc w:val="center"/>
              <w:rPr>
                <w:b/>
                <w:color w:val="FFFFFF"/>
              </w:rPr>
            </w:pPr>
            <w:r w:rsidRPr="00BF392C">
              <w:rPr>
                <w:b/>
                <w:color w:val="FFFFFF"/>
              </w:rPr>
              <w:t xml:space="preserve">Frequency range </w:t>
            </w:r>
          </w:p>
        </w:tc>
        <w:tc>
          <w:tcPr>
            <w:tcW w:w="3261" w:type="dxa"/>
            <w:tcBorders>
              <w:top w:val="single" w:sz="4" w:space="0" w:color="D2232A"/>
              <w:left w:val="single" w:sz="8" w:space="0" w:color="FFFFFF"/>
              <w:bottom w:val="single" w:sz="4" w:space="0" w:color="D2232A"/>
              <w:right w:val="single" w:sz="8" w:space="0" w:color="FFFFFF"/>
            </w:tcBorders>
            <w:shd w:val="clear" w:color="auto" w:fill="D2232A"/>
            <w:vAlign w:val="center"/>
          </w:tcPr>
          <w:p w14:paraId="4F62817E" w14:textId="77777777" w:rsidR="00491AD9" w:rsidRPr="00BF392C" w:rsidRDefault="00491AD9" w:rsidP="00AF52A9">
            <w:pPr>
              <w:keepNext/>
              <w:spacing w:before="60" w:after="60" w:line="288" w:lineRule="auto"/>
              <w:jc w:val="center"/>
              <w:rPr>
                <w:b/>
                <w:color w:val="FFFFFF"/>
              </w:rPr>
            </w:pPr>
            <w:r w:rsidRPr="00BF392C">
              <w:rPr>
                <w:b/>
                <w:color w:val="FFFFFF"/>
              </w:rPr>
              <w:t>Maximum Total Radiated Power (TRP) (see note)</w:t>
            </w:r>
          </w:p>
        </w:tc>
        <w:tc>
          <w:tcPr>
            <w:tcW w:w="2693" w:type="dxa"/>
            <w:tcBorders>
              <w:top w:val="single" w:sz="4" w:space="0" w:color="D2232A"/>
              <w:left w:val="single" w:sz="8" w:space="0" w:color="FFFFFF"/>
              <w:bottom w:val="single" w:sz="4" w:space="0" w:color="D2232A"/>
              <w:right w:val="single" w:sz="4" w:space="0" w:color="D2232A"/>
            </w:tcBorders>
            <w:shd w:val="clear" w:color="auto" w:fill="D2232A"/>
            <w:vAlign w:val="center"/>
          </w:tcPr>
          <w:p w14:paraId="110E9CD0" w14:textId="77777777" w:rsidR="00491AD9" w:rsidRPr="00BF392C" w:rsidRDefault="00491AD9" w:rsidP="00AF52A9">
            <w:pPr>
              <w:keepNext/>
              <w:spacing w:before="60" w:after="60" w:line="288" w:lineRule="auto"/>
              <w:jc w:val="center"/>
              <w:rPr>
                <w:b/>
                <w:color w:val="FFFFFF"/>
              </w:rPr>
            </w:pPr>
            <w:r w:rsidRPr="00BF392C">
              <w:rPr>
                <w:b/>
                <w:color w:val="FFFFFF"/>
              </w:rPr>
              <w:t>Measurement bandwidth</w:t>
            </w:r>
          </w:p>
        </w:tc>
      </w:tr>
      <w:tr w:rsidR="00491AD9" w:rsidRPr="00BF392C" w14:paraId="3C4D9701" w14:textId="77777777" w:rsidTr="00AF52A9">
        <w:tc>
          <w:tcPr>
            <w:tcW w:w="3118" w:type="dxa"/>
            <w:tcBorders>
              <w:top w:val="single" w:sz="4" w:space="0" w:color="D2232A"/>
              <w:left w:val="single" w:sz="4" w:space="0" w:color="D2232A"/>
              <w:bottom w:val="single" w:sz="4" w:space="0" w:color="D2232A"/>
              <w:right w:val="single" w:sz="4" w:space="0" w:color="D2232A"/>
            </w:tcBorders>
            <w:vAlign w:val="center"/>
          </w:tcPr>
          <w:p w14:paraId="0E807306" w14:textId="77777777" w:rsidR="00491AD9" w:rsidRPr="00BF392C" w:rsidRDefault="00491AD9" w:rsidP="00AF52A9">
            <w:pPr>
              <w:keepNext/>
              <w:spacing w:before="60" w:after="60" w:line="288" w:lineRule="auto"/>
            </w:pPr>
            <w:r w:rsidRPr="00BF392C">
              <w:t>23.6-24.0 GHz</w:t>
            </w:r>
          </w:p>
        </w:tc>
        <w:tc>
          <w:tcPr>
            <w:tcW w:w="3261" w:type="dxa"/>
            <w:tcBorders>
              <w:top w:val="single" w:sz="4" w:space="0" w:color="D2232A"/>
              <w:left w:val="single" w:sz="4" w:space="0" w:color="D2232A"/>
              <w:bottom w:val="single" w:sz="4" w:space="0" w:color="D2232A"/>
              <w:right w:val="single" w:sz="4" w:space="0" w:color="D2232A"/>
            </w:tcBorders>
            <w:vAlign w:val="center"/>
          </w:tcPr>
          <w:p w14:paraId="70C96A18" w14:textId="77777777" w:rsidR="00491AD9" w:rsidRPr="00BF392C" w:rsidRDefault="00491AD9" w:rsidP="00AF52A9">
            <w:pPr>
              <w:keepNext/>
              <w:spacing w:before="60" w:after="60"/>
              <w:jc w:val="center"/>
            </w:pPr>
            <w:r w:rsidRPr="006E420C">
              <w:t>-42</w:t>
            </w:r>
            <w:r w:rsidRPr="00BF392C">
              <w:t xml:space="preserve"> </w:t>
            </w:r>
            <w:proofErr w:type="spellStart"/>
            <w:r w:rsidRPr="00BF392C">
              <w:t>dBW</w:t>
            </w:r>
            <w:proofErr w:type="spellEnd"/>
          </w:p>
        </w:tc>
        <w:tc>
          <w:tcPr>
            <w:tcW w:w="2693" w:type="dxa"/>
            <w:tcBorders>
              <w:top w:val="single" w:sz="4" w:space="0" w:color="D2232A"/>
              <w:left w:val="single" w:sz="4" w:space="0" w:color="D2232A"/>
              <w:bottom w:val="single" w:sz="4" w:space="0" w:color="D2232A"/>
              <w:right w:val="single" w:sz="4" w:space="0" w:color="D2232A"/>
            </w:tcBorders>
            <w:vAlign w:val="center"/>
          </w:tcPr>
          <w:p w14:paraId="79F80E68" w14:textId="77777777" w:rsidR="00491AD9" w:rsidRPr="00BF392C" w:rsidRDefault="00491AD9" w:rsidP="00AF52A9">
            <w:pPr>
              <w:keepNext/>
              <w:spacing w:before="60" w:after="60" w:line="288" w:lineRule="auto"/>
              <w:jc w:val="center"/>
            </w:pPr>
            <w:r w:rsidRPr="00BF392C">
              <w:t>200 MHz</w:t>
            </w:r>
          </w:p>
        </w:tc>
      </w:tr>
    </w:tbl>
    <w:p w14:paraId="07A6D882" w14:textId="7EC5AB96" w:rsidR="00491AD9" w:rsidRDefault="00491AD9" w:rsidP="00491AD9">
      <w:pPr>
        <w:spacing w:after="240"/>
        <w:ind w:left="284" w:right="1275"/>
        <w:jc w:val="both"/>
        <w:rPr>
          <w:sz w:val="18"/>
          <w:szCs w:val="18"/>
        </w:rPr>
      </w:pPr>
      <w:r w:rsidRPr="00BF392C">
        <w:rPr>
          <w:sz w:val="18"/>
          <w:szCs w:val="18"/>
        </w:rPr>
        <w:t>Note: This level requirement applies for BS for all foreseen modes of operation (i.e. maximum in-band power, electrical pointing, carrier configurations</w:t>
      </w:r>
      <w:r>
        <w:rPr>
          <w:sz w:val="18"/>
          <w:szCs w:val="18"/>
        </w:rPr>
        <w:t>)</w:t>
      </w:r>
    </w:p>
    <w:p w14:paraId="57805956" w14:textId="677086B6" w:rsidR="00EB08D7" w:rsidRDefault="00EB08D7" w:rsidP="00A460E2">
      <w:pPr>
        <w:pStyle w:val="Caption"/>
        <w:keepNext/>
        <w:jc w:val="center"/>
      </w:pPr>
      <w:bookmarkStart w:id="3" w:name="_Ref520216101"/>
      <w:r>
        <w:t xml:space="preserve">Table </w:t>
      </w:r>
      <w:r>
        <w:fldChar w:fldCharType="begin"/>
      </w:r>
      <w:r>
        <w:instrText xml:space="preserve"> SEQ Table \* ARABIC </w:instrText>
      </w:r>
      <w:r>
        <w:fldChar w:fldCharType="separate"/>
      </w:r>
      <w:r w:rsidR="00CE379E">
        <w:rPr>
          <w:noProof/>
        </w:rPr>
        <w:t>2</w:t>
      </w:r>
      <w:r>
        <w:fldChar w:fldCharType="end"/>
      </w:r>
      <w:bookmarkEnd w:id="3"/>
      <w:r>
        <w:t xml:space="preserve">. </w:t>
      </w:r>
      <w:r w:rsidRPr="00BF392C">
        <w:t>MFCN terminal station maximum emissions into the 23.6-24.0 GHz band</w:t>
      </w:r>
    </w:p>
    <w:tbl>
      <w:tblPr>
        <w:tblW w:w="0" w:type="auto"/>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118"/>
        <w:gridCol w:w="3261"/>
        <w:gridCol w:w="2693"/>
      </w:tblGrid>
      <w:tr w:rsidR="00491AD9" w:rsidRPr="00BF392C" w14:paraId="7D27DDBD" w14:textId="77777777" w:rsidTr="00AF52A9">
        <w:trPr>
          <w:tblHeader/>
        </w:trPr>
        <w:tc>
          <w:tcPr>
            <w:tcW w:w="3118" w:type="dxa"/>
            <w:tcBorders>
              <w:top w:val="single" w:sz="4" w:space="0" w:color="D2232A"/>
              <w:left w:val="single" w:sz="4" w:space="0" w:color="D2232A"/>
              <w:bottom w:val="single" w:sz="4" w:space="0" w:color="D2232A"/>
              <w:right w:val="single" w:sz="8" w:space="0" w:color="FFFFFF"/>
            </w:tcBorders>
            <w:shd w:val="clear" w:color="auto" w:fill="D2232A"/>
            <w:vAlign w:val="center"/>
          </w:tcPr>
          <w:p w14:paraId="330C4AF7" w14:textId="77777777" w:rsidR="00491AD9" w:rsidRPr="00BF392C" w:rsidRDefault="00491AD9" w:rsidP="00AF52A9">
            <w:pPr>
              <w:keepNext/>
              <w:spacing w:before="60" w:after="60" w:line="288" w:lineRule="auto"/>
              <w:jc w:val="center"/>
              <w:rPr>
                <w:b/>
                <w:color w:val="FFFFFF"/>
              </w:rPr>
            </w:pPr>
            <w:r w:rsidRPr="00BF392C">
              <w:rPr>
                <w:b/>
                <w:color w:val="FFFFFF"/>
              </w:rPr>
              <w:t xml:space="preserve">Frequency range </w:t>
            </w:r>
          </w:p>
        </w:tc>
        <w:tc>
          <w:tcPr>
            <w:tcW w:w="3261" w:type="dxa"/>
            <w:tcBorders>
              <w:top w:val="single" w:sz="4" w:space="0" w:color="D2232A"/>
              <w:left w:val="single" w:sz="8" w:space="0" w:color="FFFFFF"/>
              <w:bottom w:val="single" w:sz="4" w:space="0" w:color="D2232A"/>
              <w:right w:val="single" w:sz="8" w:space="0" w:color="FFFFFF"/>
            </w:tcBorders>
            <w:shd w:val="clear" w:color="auto" w:fill="D2232A"/>
            <w:vAlign w:val="center"/>
          </w:tcPr>
          <w:p w14:paraId="79A4AA36" w14:textId="77777777" w:rsidR="00491AD9" w:rsidRPr="00BF392C" w:rsidRDefault="00491AD9" w:rsidP="00AF52A9">
            <w:pPr>
              <w:keepNext/>
              <w:spacing w:before="60" w:after="60" w:line="288" w:lineRule="auto"/>
              <w:jc w:val="center"/>
              <w:rPr>
                <w:b/>
                <w:color w:val="FFFFFF"/>
              </w:rPr>
            </w:pPr>
            <w:r w:rsidRPr="00BF392C">
              <w:rPr>
                <w:b/>
                <w:color w:val="FFFFFF"/>
              </w:rPr>
              <w:t>Maximum emissions (see note)</w:t>
            </w:r>
          </w:p>
        </w:tc>
        <w:tc>
          <w:tcPr>
            <w:tcW w:w="2693" w:type="dxa"/>
            <w:tcBorders>
              <w:top w:val="single" w:sz="4" w:space="0" w:color="D2232A"/>
              <w:left w:val="single" w:sz="8" w:space="0" w:color="FFFFFF"/>
              <w:bottom w:val="single" w:sz="4" w:space="0" w:color="D2232A"/>
              <w:right w:val="single" w:sz="4" w:space="0" w:color="D2232A"/>
            </w:tcBorders>
            <w:shd w:val="clear" w:color="auto" w:fill="D2232A"/>
            <w:vAlign w:val="center"/>
          </w:tcPr>
          <w:p w14:paraId="3D22DA92" w14:textId="77777777" w:rsidR="00491AD9" w:rsidRPr="00BF392C" w:rsidRDefault="00491AD9" w:rsidP="00AF52A9">
            <w:pPr>
              <w:keepNext/>
              <w:spacing w:before="60" w:after="60" w:line="288" w:lineRule="auto"/>
              <w:jc w:val="center"/>
              <w:rPr>
                <w:b/>
                <w:color w:val="FFFFFF"/>
              </w:rPr>
            </w:pPr>
            <w:r w:rsidRPr="00BF392C">
              <w:rPr>
                <w:b/>
                <w:color w:val="FFFFFF"/>
              </w:rPr>
              <w:t>Measurement bandwidth</w:t>
            </w:r>
          </w:p>
        </w:tc>
      </w:tr>
      <w:tr w:rsidR="00491AD9" w:rsidRPr="00BF392C" w14:paraId="47F428B9" w14:textId="77777777" w:rsidTr="00AF52A9">
        <w:tc>
          <w:tcPr>
            <w:tcW w:w="3118" w:type="dxa"/>
            <w:tcBorders>
              <w:top w:val="single" w:sz="4" w:space="0" w:color="D2232A"/>
              <w:left w:val="single" w:sz="4" w:space="0" w:color="D2232A"/>
              <w:bottom w:val="single" w:sz="4" w:space="0" w:color="D2232A"/>
              <w:right w:val="single" w:sz="4" w:space="0" w:color="D2232A"/>
            </w:tcBorders>
            <w:vAlign w:val="center"/>
          </w:tcPr>
          <w:p w14:paraId="7D729F88" w14:textId="77777777" w:rsidR="00491AD9" w:rsidRPr="00BF392C" w:rsidRDefault="00491AD9" w:rsidP="00AF52A9">
            <w:pPr>
              <w:spacing w:before="60" w:after="60" w:line="288" w:lineRule="auto"/>
            </w:pPr>
            <w:r w:rsidRPr="00BF392C">
              <w:t>23.6-24.0 GHz</w:t>
            </w:r>
          </w:p>
        </w:tc>
        <w:tc>
          <w:tcPr>
            <w:tcW w:w="3261" w:type="dxa"/>
            <w:tcBorders>
              <w:top w:val="single" w:sz="4" w:space="0" w:color="D2232A"/>
              <w:left w:val="single" w:sz="4" w:space="0" w:color="D2232A"/>
              <w:bottom w:val="single" w:sz="4" w:space="0" w:color="D2232A"/>
              <w:right w:val="single" w:sz="4" w:space="0" w:color="D2232A"/>
            </w:tcBorders>
            <w:vAlign w:val="center"/>
          </w:tcPr>
          <w:p w14:paraId="315F189F" w14:textId="77777777" w:rsidR="00491AD9" w:rsidRPr="00BF392C" w:rsidRDefault="00491AD9" w:rsidP="00AF52A9">
            <w:pPr>
              <w:spacing w:before="60" w:after="60"/>
              <w:jc w:val="center"/>
            </w:pPr>
            <w:r w:rsidRPr="006E420C">
              <w:t>-38</w:t>
            </w:r>
            <w:r w:rsidRPr="00BF392C">
              <w:t xml:space="preserve"> </w:t>
            </w:r>
            <w:proofErr w:type="spellStart"/>
            <w:r w:rsidRPr="00BF392C">
              <w:t>dBW</w:t>
            </w:r>
            <w:proofErr w:type="spellEnd"/>
          </w:p>
        </w:tc>
        <w:tc>
          <w:tcPr>
            <w:tcW w:w="2693" w:type="dxa"/>
            <w:tcBorders>
              <w:top w:val="single" w:sz="4" w:space="0" w:color="D2232A"/>
              <w:left w:val="single" w:sz="4" w:space="0" w:color="D2232A"/>
              <w:bottom w:val="single" w:sz="4" w:space="0" w:color="D2232A"/>
              <w:right w:val="single" w:sz="4" w:space="0" w:color="D2232A"/>
            </w:tcBorders>
            <w:vAlign w:val="center"/>
          </w:tcPr>
          <w:p w14:paraId="28405B1D" w14:textId="77777777" w:rsidR="00491AD9" w:rsidRPr="00BF392C" w:rsidRDefault="00491AD9" w:rsidP="00AF52A9">
            <w:pPr>
              <w:spacing w:before="60" w:after="60" w:line="288" w:lineRule="auto"/>
              <w:jc w:val="center"/>
            </w:pPr>
            <w:r w:rsidRPr="00BF392C">
              <w:t>200 MHz</w:t>
            </w:r>
          </w:p>
        </w:tc>
      </w:tr>
    </w:tbl>
    <w:p w14:paraId="00548AB7" w14:textId="77777777" w:rsidR="00491AD9" w:rsidRPr="00BF392C" w:rsidRDefault="00491AD9" w:rsidP="00491AD9">
      <w:pPr>
        <w:spacing w:after="240"/>
        <w:ind w:left="284" w:right="1275"/>
        <w:jc w:val="both"/>
        <w:rPr>
          <w:sz w:val="18"/>
          <w:szCs w:val="18"/>
        </w:rPr>
      </w:pPr>
    </w:p>
    <w:p w14:paraId="5FCAAEB4" w14:textId="120027F9" w:rsidR="00EB08D7" w:rsidRDefault="00EB08D7" w:rsidP="002E6767">
      <w:pPr>
        <w:jc w:val="both"/>
        <w:rPr>
          <w:color w:val="000000"/>
        </w:rPr>
      </w:pPr>
      <w:r>
        <w:rPr>
          <w:color w:val="000000"/>
        </w:rPr>
        <w:fldChar w:fldCharType="begin"/>
      </w:r>
      <w:r>
        <w:rPr>
          <w:color w:val="000000"/>
        </w:rPr>
        <w:instrText xml:space="preserve"> REF _Ref520216098 \h </w:instrText>
      </w:r>
      <w:r>
        <w:rPr>
          <w:color w:val="000000"/>
        </w:rPr>
      </w:r>
      <w:r>
        <w:rPr>
          <w:color w:val="000000"/>
        </w:rPr>
        <w:fldChar w:fldCharType="separate"/>
      </w:r>
      <w:r w:rsidR="00CE379E">
        <w:t xml:space="preserve">Table </w:t>
      </w:r>
      <w:r w:rsidR="00CE379E">
        <w:rPr>
          <w:noProof/>
        </w:rPr>
        <w:t>1</w:t>
      </w:r>
      <w:r>
        <w:rPr>
          <w:color w:val="000000"/>
        </w:rPr>
        <w:fldChar w:fldCharType="end"/>
      </w:r>
      <w:r>
        <w:rPr>
          <w:color w:val="000000"/>
        </w:rPr>
        <w:t xml:space="preserve"> and </w:t>
      </w:r>
      <w:r>
        <w:rPr>
          <w:color w:val="000000"/>
        </w:rPr>
        <w:fldChar w:fldCharType="begin"/>
      </w:r>
      <w:r>
        <w:rPr>
          <w:color w:val="000000"/>
        </w:rPr>
        <w:instrText xml:space="preserve"> REF _Ref520216101 \h </w:instrText>
      </w:r>
      <w:r>
        <w:rPr>
          <w:color w:val="000000"/>
        </w:rPr>
      </w:r>
      <w:r>
        <w:rPr>
          <w:color w:val="000000"/>
        </w:rPr>
        <w:fldChar w:fldCharType="separate"/>
      </w:r>
      <w:r w:rsidR="00CE379E">
        <w:t xml:space="preserve">Table </w:t>
      </w:r>
      <w:r w:rsidR="00CE379E">
        <w:rPr>
          <w:noProof/>
        </w:rPr>
        <w:t>2</w:t>
      </w:r>
      <w:r>
        <w:rPr>
          <w:color w:val="000000"/>
        </w:rPr>
        <w:fldChar w:fldCharType="end"/>
      </w:r>
      <w:r>
        <w:rPr>
          <w:color w:val="000000"/>
        </w:rPr>
        <w:t xml:space="preserve"> show the agreed BS and UE additional emission level for protection of EEES, respectively. </w:t>
      </w:r>
      <w:r w:rsidR="00C957FE">
        <w:rPr>
          <w:color w:val="000000"/>
        </w:rPr>
        <w:t xml:space="preserve">As it can be observed, the requirement for UE is -38dBW/200MHz, which is the same level we analysed in </w:t>
      </w:r>
      <w:r w:rsidR="00C957FE">
        <w:rPr>
          <w:color w:val="000000"/>
        </w:rPr>
        <w:fldChar w:fldCharType="begin"/>
      </w:r>
      <w:r w:rsidR="00C957FE">
        <w:rPr>
          <w:color w:val="000000"/>
        </w:rPr>
        <w:instrText xml:space="preserve"> REF _Ref520215609 \r \h </w:instrText>
      </w:r>
      <w:r w:rsidR="00C957FE">
        <w:rPr>
          <w:color w:val="000000"/>
        </w:rPr>
      </w:r>
      <w:r w:rsidR="00C957FE">
        <w:rPr>
          <w:color w:val="000000"/>
        </w:rPr>
        <w:fldChar w:fldCharType="separate"/>
      </w:r>
      <w:r w:rsidR="00CE379E">
        <w:rPr>
          <w:color w:val="000000"/>
        </w:rPr>
        <w:t>[2]</w:t>
      </w:r>
      <w:r w:rsidR="00C957FE">
        <w:rPr>
          <w:color w:val="000000"/>
        </w:rPr>
        <w:fldChar w:fldCharType="end"/>
      </w:r>
      <w:r w:rsidR="00C957FE">
        <w:rPr>
          <w:color w:val="000000"/>
        </w:rPr>
        <w:t xml:space="preserve">. </w:t>
      </w:r>
      <w:proofErr w:type="gramStart"/>
      <w:r w:rsidR="00C957FE">
        <w:rPr>
          <w:color w:val="000000"/>
        </w:rPr>
        <w:t>As a consequence</w:t>
      </w:r>
      <w:proofErr w:type="gramEnd"/>
      <w:r w:rsidR="00C957FE">
        <w:rPr>
          <w:color w:val="000000"/>
        </w:rPr>
        <w:t>, in the following we will revise our previous analysis to draw some preliminary conclusions.</w:t>
      </w:r>
    </w:p>
    <w:p w14:paraId="76DA63E7" w14:textId="77777777" w:rsidR="00C957FE" w:rsidRDefault="00C957FE" w:rsidP="002E6767">
      <w:pPr>
        <w:jc w:val="both"/>
        <w:rPr>
          <w:color w:val="000000"/>
        </w:rPr>
      </w:pPr>
      <w:r>
        <w:rPr>
          <w:color w:val="000000"/>
        </w:rPr>
        <w:t xml:space="preserve">Another important aspect is how to handle this additional requirement. Although a specific protection level is agreed only for the European regulation, a worldwide activity is still ongoing in ITU-R to define a global ITU recommendation/resolution. The ITU requirement will be decided in the coming World Radio Conference, and it is not guaranteed it will be the same as the one agreed in ECC. </w:t>
      </w:r>
      <w:proofErr w:type="gramStart"/>
      <w:r>
        <w:rPr>
          <w:color w:val="000000"/>
        </w:rPr>
        <w:t>As a consequence</w:t>
      </w:r>
      <w:proofErr w:type="gramEnd"/>
      <w:r>
        <w:rPr>
          <w:color w:val="000000"/>
        </w:rPr>
        <w:t>, for the time being it is better to treat the protection of EESS through A-MPR.</w:t>
      </w:r>
    </w:p>
    <w:p w14:paraId="0D2181EC" w14:textId="430A389D" w:rsidR="00C957FE" w:rsidRDefault="00C957FE" w:rsidP="002E6767">
      <w:pPr>
        <w:jc w:val="both"/>
        <w:rPr>
          <w:b/>
          <w:i/>
          <w:color w:val="000000"/>
        </w:rPr>
      </w:pPr>
      <w:r w:rsidRPr="00A460E2">
        <w:rPr>
          <w:b/>
          <w:i/>
          <w:color w:val="000000"/>
        </w:rPr>
        <w:t>Proposal:</w:t>
      </w:r>
      <w:r>
        <w:rPr>
          <w:b/>
          <w:i/>
          <w:color w:val="000000"/>
        </w:rPr>
        <w:t xml:space="preserve"> power back-off </w:t>
      </w:r>
      <w:r w:rsidR="00F35D05">
        <w:rPr>
          <w:b/>
          <w:i/>
          <w:color w:val="000000"/>
        </w:rPr>
        <w:t xml:space="preserve">(if needed) </w:t>
      </w:r>
      <w:r>
        <w:rPr>
          <w:b/>
          <w:i/>
          <w:color w:val="000000"/>
        </w:rPr>
        <w:t xml:space="preserve">to </w:t>
      </w:r>
      <w:r w:rsidR="00F35D05">
        <w:rPr>
          <w:b/>
          <w:i/>
          <w:color w:val="000000"/>
        </w:rPr>
        <w:t>protect</w:t>
      </w:r>
      <w:r>
        <w:rPr>
          <w:b/>
          <w:i/>
          <w:color w:val="000000"/>
        </w:rPr>
        <w:t xml:space="preserve"> of EESS passive services should be </w:t>
      </w:r>
      <w:r w:rsidR="00F35D05">
        <w:rPr>
          <w:b/>
          <w:i/>
          <w:color w:val="000000"/>
        </w:rPr>
        <w:t>specified as</w:t>
      </w:r>
      <w:r>
        <w:rPr>
          <w:b/>
          <w:i/>
          <w:color w:val="000000"/>
        </w:rPr>
        <w:t xml:space="preserve"> A-MPR.</w:t>
      </w:r>
      <w:r w:rsidRPr="00A460E2">
        <w:rPr>
          <w:b/>
          <w:i/>
          <w:color w:val="000000"/>
        </w:rPr>
        <w:t xml:space="preserve"> </w:t>
      </w:r>
    </w:p>
    <w:p w14:paraId="3337CA2C" w14:textId="03C00E59" w:rsidR="00F35D05" w:rsidRPr="00A460E2" w:rsidRDefault="00F35D05" w:rsidP="002E6767">
      <w:pPr>
        <w:jc w:val="both"/>
        <w:rPr>
          <w:color w:val="000000"/>
        </w:rPr>
      </w:pPr>
      <w:r>
        <w:rPr>
          <w:color w:val="000000"/>
        </w:rPr>
        <w:t>Following proposal 1, we will analyse the total back-off needed to meet the -38dBW/200MHz requirement, and we will also determine if A-MPR is needed based on our MPR proposals in</w:t>
      </w:r>
      <w:r w:rsidR="00CE379E">
        <w:rPr>
          <w:color w:val="000000"/>
        </w:rPr>
        <w:t xml:space="preserve"> </w:t>
      </w:r>
      <w:r w:rsidR="00CE379E">
        <w:rPr>
          <w:color w:val="000000"/>
        </w:rPr>
        <w:fldChar w:fldCharType="begin"/>
      </w:r>
      <w:r w:rsidR="00CE379E">
        <w:rPr>
          <w:color w:val="000000"/>
        </w:rPr>
        <w:instrText xml:space="preserve"> REF _Ref521689389 \r \h </w:instrText>
      </w:r>
      <w:r w:rsidR="00CE379E">
        <w:rPr>
          <w:color w:val="000000"/>
        </w:rPr>
      </w:r>
      <w:r w:rsidR="00CE379E">
        <w:rPr>
          <w:color w:val="000000"/>
        </w:rPr>
        <w:fldChar w:fldCharType="separate"/>
      </w:r>
      <w:r w:rsidR="00CE379E">
        <w:rPr>
          <w:color w:val="000000"/>
        </w:rPr>
        <w:t>[4]</w:t>
      </w:r>
      <w:r w:rsidR="00CE379E">
        <w:rPr>
          <w:color w:val="000000"/>
        </w:rPr>
        <w:fldChar w:fldCharType="end"/>
      </w:r>
      <w:r w:rsidR="00CE379E">
        <w:rPr>
          <w:color w:val="000000"/>
        </w:rPr>
        <w:fldChar w:fldCharType="begin"/>
      </w:r>
      <w:r w:rsidR="00CE379E">
        <w:rPr>
          <w:color w:val="000000"/>
        </w:rPr>
        <w:instrText xml:space="preserve"> REF _Ref521689391 \r \h </w:instrText>
      </w:r>
      <w:r w:rsidR="00CE379E">
        <w:rPr>
          <w:color w:val="000000"/>
        </w:rPr>
      </w:r>
      <w:r w:rsidR="00CE379E">
        <w:rPr>
          <w:color w:val="000000"/>
        </w:rPr>
        <w:fldChar w:fldCharType="separate"/>
      </w:r>
      <w:r w:rsidR="00CE379E">
        <w:rPr>
          <w:color w:val="000000"/>
        </w:rPr>
        <w:t>[5]</w:t>
      </w:r>
      <w:r w:rsidR="00CE379E">
        <w:rPr>
          <w:color w:val="000000"/>
        </w:rPr>
        <w:fldChar w:fldCharType="end"/>
      </w:r>
      <w:r w:rsidR="00CE379E">
        <w:rPr>
          <w:color w:val="000000"/>
        </w:rPr>
        <w:fldChar w:fldCharType="begin"/>
      </w:r>
      <w:r w:rsidR="00CE379E">
        <w:rPr>
          <w:color w:val="000000"/>
        </w:rPr>
        <w:instrText xml:space="preserve"> REF _Ref521689394 \r \h </w:instrText>
      </w:r>
      <w:r w:rsidR="00CE379E">
        <w:rPr>
          <w:color w:val="000000"/>
        </w:rPr>
      </w:r>
      <w:r w:rsidR="00CE379E">
        <w:rPr>
          <w:color w:val="000000"/>
        </w:rPr>
        <w:fldChar w:fldCharType="separate"/>
      </w:r>
      <w:r w:rsidR="00CE379E">
        <w:rPr>
          <w:color w:val="000000"/>
        </w:rPr>
        <w:t>[6]</w:t>
      </w:r>
      <w:r w:rsidR="00CE379E">
        <w:rPr>
          <w:color w:val="000000"/>
        </w:rPr>
        <w:fldChar w:fldCharType="end"/>
      </w:r>
      <w:r w:rsidR="00CE379E">
        <w:rPr>
          <w:color w:val="000000"/>
        </w:rPr>
        <w:fldChar w:fldCharType="begin"/>
      </w:r>
      <w:r w:rsidR="00CE379E">
        <w:rPr>
          <w:color w:val="000000"/>
        </w:rPr>
        <w:instrText xml:space="preserve"> REF _Ref521689395 \r \h </w:instrText>
      </w:r>
      <w:r w:rsidR="00CE379E">
        <w:rPr>
          <w:color w:val="000000"/>
        </w:rPr>
      </w:r>
      <w:r w:rsidR="00CE379E">
        <w:rPr>
          <w:color w:val="000000"/>
        </w:rPr>
        <w:fldChar w:fldCharType="separate"/>
      </w:r>
      <w:r w:rsidR="00CE379E">
        <w:rPr>
          <w:color w:val="000000"/>
        </w:rPr>
        <w:t>[7]</w:t>
      </w:r>
      <w:r w:rsidR="00CE379E">
        <w:rPr>
          <w:color w:val="000000"/>
        </w:rPr>
        <w:fldChar w:fldCharType="end"/>
      </w:r>
      <w:r w:rsidRPr="00F83DB9">
        <w:rPr>
          <w:color w:val="000000"/>
        </w:rPr>
        <w:t>.</w:t>
      </w:r>
    </w:p>
    <w:p w14:paraId="78EB409D" w14:textId="0EB12966" w:rsidR="007F2705" w:rsidRDefault="007F2705" w:rsidP="0091110E">
      <w:pPr>
        <w:rPr>
          <w:rFonts w:ascii="Arial" w:hAnsi="Arial" w:cs="Arial"/>
          <w:color w:val="000000"/>
          <w:sz w:val="18"/>
          <w:szCs w:val="18"/>
        </w:rPr>
      </w:pPr>
    </w:p>
    <w:p w14:paraId="1CCD8D01" w14:textId="18590DDA" w:rsidR="00545241" w:rsidRDefault="00C2361C" w:rsidP="00545241">
      <w:pPr>
        <w:pStyle w:val="Heading1"/>
        <w:tabs>
          <w:tab w:val="clear" w:pos="432"/>
          <w:tab w:val="num" w:pos="522"/>
        </w:tabs>
        <w:ind w:left="522" w:hanging="522"/>
        <w:jc w:val="both"/>
        <w:rPr>
          <w:lang w:val="en-US"/>
        </w:rPr>
      </w:pPr>
      <w:r>
        <w:rPr>
          <w:lang w:val="en-US"/>
        </w:rPr>
        <w:lastRenderedPageBreak/>
        <w:t>Impact of additional spurious emission requirement: methodology and results</w:t>
      </w:r>
    </w:p>
    <w:p w14:paraId="77A28408" w14:textId="3BD9F50D" w:rsidR="00DA127C" w:rsidRDefault="00EC3ACD" w:rsidP="00D86573">
      <w:pPr>
        <w:jc w:val="both"/>
        <w:rPr>
          <w:color w:val="000000"/>
        </w:rPr>
      </w:pPr>
      <w:r>
        <w:rPr>
          <w:color w:val="000000"/>
        </w:rPr>
        <w:t xml:space="preserve">An analysis of power back off needed to meet the EESS protection requirement was already presented in </w:t>
      </w:r>
      <w:r>
        <w:rPr>
          <w:color w:val="000000"/>
        </w:rPr>
        <w:fldChar w:fldCharType="begin"/>
      </w:r>
      <w:r>
        <w:rPr>
          <w:color w:val="000000"/>
        </w:rPr>
        <w:instrText xml:space="preserve"> REF _Ref520215609 \r \h </w:instrText>
      </w:r>
      <w:r>
        <w:rPr>
          <w:color w:val="000000"/>
        </w:rPr>
      </w:r>
      <w:r>
        <w:rPr>
          <w:color w:val="000000"/>
        </w:rPr>
        <w:fldChar w:fldCharType="separate"/>
      </w:r>
      <w:r>
        <w:rPr>
          <w:color w:val="000000"/>
        </w:rPr>
        <w:t>[2]</w:t>
      </w:r>
      <w:r>
        <w:rPr>
          <w:color w:val="000000"/>
        </w:rPr>
        <w:fldChar w:fldCharType="end"/>
      </w:r>
      <w:r>
        <w:rPr>
          <w:color w:val="000000"/>
        </w:rPr>
        <w:t xml:space="preserve"> and </w:t>
      </w:r>
      <w:r>
        <w:rPr>
          <w:color w:val="000000"/>
        </w:rPr>
        <w:fldChar w:fldCharType="begin"/>
      </w:r>
      <w:r>
        <w:rPr>
          <w:color w:val="000000"/>
        </w:rPr>
        <w:instrText xml:space="preserve"> REF _Ref521689525 \r \h </w:instrText>
      </w:r>
      <w:r>
        <w:rPr>
          <w:color w:val="000000"/>
        </w:rPr>
      </w:r>
      <w:r>
        <w:rPr>
          <w:color w:val="000000"/>
        </w:rPr>
        <w:fldChar w:fldCharType="separate"/>
      </w:r>
      <w:r>
        <w:rPr>
          <w:color w:val="000000"/>
        </w:rPr>
        <w:t>[3]</w:t>
      </w:r>
      <w:r>
        <w:rPr>
          <w:color w:val="000000"/>
        </w:rPr>
        <w:fldChar w:fldCharType="end"/>
      </w:r>
      <w:r>
        <w:rPr>
          <w:color w:val="000000"/>
        </w:rPr>
        <w:t xml:space="preserve">. </w:t>
      </w:r>
      <w:r w:rsidR="00DA127C">
        <w:rPr>
          <w:color w:val="000000"/>
        </w:rPr>
        <w:t>Due to possible number of component carriers and the single CC BW (large number of RBs), there is a very large number of cases to be analysed in order to estimate total back-off required to meet -38dBW/200MHz in 23.6-24GHz band. In the following list we summarize, all the configurations that we have analysed:</w:t>
      </w:r>
    </w:p>
    <w:p w14:paraId="4F050F1D" w14:textId="77777777" w:rsidR="00152DA9" w:rsidRPr="00DA127C" w:rsidRDefault="006B05F9" w:rsidP="00DA127C">
      <w:pPr>
        <w:pStyle w:val="ListParagraph"/>
        <w:numPr>
          <w:ilvl w:val="0"/>
          <w:numId w:val="42"/>
        </w:numPr>
        <w:jc w:val="both"/>
        <w:rPr>
          <w:color w:val="000000"/>
          <w:lang w:val="it-IT"/>
        </w:rPr>
      </w:pPr>
      <w:r w:rsidRPr="00DA127C">
        <w:rPr>
          <w:color w:val="000000"/>
          <w:lang w:val="en-US"/>
        </w:rPr>
        <w:t>Contiguous Cases</w:t>
      </w:r>
    </w:p>
    <w:p w14:paraId="1021A933" w14:textId="77777777" w:rsidR="00152DA9" w:rsidRPr="00DA127C" w:rsidRDefault="006B05F9" w:rsidP="00A460E2">
      <w:pPr>
        <w:pStyle w:val="ListParagraph"/>
        <w:numPr>
          <w:ilvl w:val="1"/>
          <w:numId w:val="42"/>
        </w:numPr>
        <w:jc w:val="both"/>
        <w:rPr>
          <w:color w:val="000000"/>
          <w:lang w:val="it-IT"/>
        </w:rPr>
      </w:pPr>
      <w:r w:rsidRPr="00DA127C">
        <w:rPr>
          <w:color w:val="000000"/>
          <w:lang w:val="en-US"/>
        </w:rPr>
        <w:t>8CC’s (100MHz CC)</w:t>
      </w:r>
    </w:p>
    <w:p w14:paraId="7664CA6A" w14:textId="77777777" w:rsidR="00152DA9" w:rsidRPr="00DA127C" w:rsidRDefault="006B05F9" w:rsidP="00A460E2">
      <w:pPr>
        <w:pStyle w:val="ListParagraph"/>
        <w:numPr>
          <w:ilvl w:val="1"/>
          <w:numId w:val="42"/>
        </w:numPr>
        <w:jc w:val="both"/>
        <w:rPr>
          <w:color w:val="000000"/>
          <w:lang w:val="it-IT"/>
        </w:rPr>
      </w:pPr>
      <w:r w:rsidRPr="00DA127C">
        <w:rPr>
          <w:color w:val="000000"/>
          <w:lang w:val="en-US"/>
        </w:rPr>
        <w:t>4CC’s (200MHz CC)</w:t>
      </w:r>
    </w:p>
    <w:p w14:paraId="13B629E4" w14:textId="77777777" w:rsidR="00152DA9" w:rsidRPr="00DA127C" w:rsidRDefault="006B05F9" w:rsidP="00A460E2">
      <w:pPr>
        <w:pStyle w:val="ListParagraph"/>
        <w:numPr>
          <w:ilvl w:val="1"/>
          <w:numId w:val="42"/>
        </w:numPr>
        <w:jc w:val="both"/>
        <w:rPr>
          <w:color w:val="000000"/>
          <w:lang w:val="it-IT"/>
        </w:rPr>
      </w:pPr>
      <w:r w:rsidRPr="00DA127C">
        <w:rPr>
          <w:color w:val="000000"/>
          <w:lang w:val="en-US"/>
        </w:rPr>
        <w:t>2CC’s (400MHz CC)</w:t>
      </w:r>
    </w:p>
    <w:p w14:paraId="4E71BA29" w14:textId="77777777" w:rsidR="00152DA9" w:rsidRPr="00DA127C" w:rsidRDefault="006B05F9" w:rsidP="00A460E2">
      <w:pPr>
        <w:pStyle w:val="ListParagraph"/>
        <w:numPr>
          <w:ilvl w:val="1"/>
          <w:numId w:val="42"/>
        </w:numPr>
        <w:jc w:val="both"/>
        <w:rPr>
          <w:color w:val="000000"/>
          <w:lang w:val="it-IT"/>
        </w:rPr>
      </w:pPr>
      <w:r w:rsidRPr="00DA127C">
        <w:rPr>
          <w:color w:val="000000"/>
          <w:lang w:val="en-US"/>
        </w:rPr>
        <w:t>1CC (400MHz CC)</w:t>
      </w:r>
    </w:p>
    <w:p w14:paraId="7BFFA8C8" w14:textId="77777777" w:rsidR="00152DA9" w:rsidRPr="00A460E2" w:rsidRDefault="006B05F9" w:rsidP="00A460E2">
      <w:pPr>
        <w:pStyle w:val="ListParagraph"/>
        <w:numPr>
          <w:ilvl w:val="1"/>
          <w:numId w:val="42"/>
        </w:numPr>
        <w:jc w:val="both"/>
        <w:rPr>
          <w:color w:val="000000"/>
          <w:lang w:val="en-US"/>
        </w:rPr>
      </w:pPr>
      <w:r w:rsidRPr="00DA127C">
        <w:rPr>
          <w:color w:val="000000"/>
          <w:lang w:val="en-US"/>
        </w:rPr>
        <w:t>RSB folding (1RB and 92RB w/60K SCS)</w:t>
      </w:r>
    </w:p>
    <w:p w14:paraId="19FB0475" w14:textId="77777777" w:rsidR="00152DA9" w:rsidRPr="00DA127C" w:rsidRDefault="006B05F9" w:rsidP="00A460E2">
      <w:pPr>
        <w:pStyle w:val="ListParagraph"/>
        <w:numPr>
          <w:ilvl w:val="1"/>
          <w:numId w:val="42"/>
        </w:numPr>
        <w:jc w:val="both"/>
        <w:rPr>
          <w:color w:val="000000"/>
          <w:lang w:val="it-IT"/>
        </w:rPr>
      </w:pPr>
      <w:r w:rsidRPr="00DA127C">
        <w:rPr>
          <w:color w:val="000000"/>
          <w:lang w:val="en-US"/>
        </w:rPr>
        <w:t>LO folding (1RB)</w:t>
      </w:r>
    </w:p>
    <w:p w14:paraId="4DE6C376" w14:textId="77777777" w:rsidR="00152DA9" w:rsidRPr="00DA127C" w:rsidRDefault="006B05F9" w:rsidP="00DA127C">
      <w:pPr>
        <w:pStyle w:val="ListParagraph"/>
        <w:numPr>
          <w:ilvl w:val="0"/>
          <w:numId w:val="42"/>
        </w:numPr>
        <w:jc w:val="both"/>
        <w:rPr>
          <w:color w:val="000000"/>
          <w:lang w:val="it-IT"/>
        </w:rPr>
      </w:pPr>
      <w:proofErr w:type="gramStart"/>
      <w:r w:rsidRPr="00DA127C">
        <w:rPr>
          <w:color w:val="000000"/>
          <w:lang w:val="en-US"/>
        </w:rPr>
        <w:t>Non Contiguous</w:t>
      </w:r>
      <w:proofErr w:type="gramEnd"/>
      <w:r w:rsidRPr="00DA127C">
        <w:rPr>
          <w:color w:val="000000"/>
          <w:lang w:val="en-US"/>
        </w:rPr>
        <w:t xml:space="preserve"> Cases</w:t>
      </w:r>
    </w:p>
    <w:p w14:paraId="28E5603C" w14:textId="77777777" w:rsidR="00152DA9" w:rsidRPr="00A460E2" w:rsidRDefault="006B05F9" w:rsidP="00A460E2">
      <w:pPr>
        <w:pStyle w:val="ListParagraph"/>
        <w:numPr>
          <w:ilvl w:val="1"/>
          <w:numId w:val="42"/>
        </w:numPr>
        <w:jc w:val="both"/>
        <w:rPr>
          <w:color w:val="000000"/>
          <w:lang w:val="en-US"/>
        </w:rPr>
      </w:pPr>
      <w:r w:rsidRPr="00DA127C">
        <w:rPr>
          <w:color w:val="000000"/>
          <w:lang w:val="en-US"/>
        </w:rPr>
        <w:t>Worst Case Triple Beat (8CC configuration and populate 1RB + 1RB +1RB NC-CA)</w:t>
      </w:r>
    </w:p>
    <w:p w14:paraId="02A99386" w14:textId="77777777" w:rsidR="00152DA9" w:rsidRPr="00A460E2" w:rsidRDefault="006B05F9" w:rsidP="00A460E2">
      <w:pPr>
        <w:pStyle w:val="ListParagraph"/>
        <w:numPr>
          <w:ilvl w:val="1"/>
          <w:numId w:val="42"/>
        </w:numPr>
        <w:jc w:val="both"/>
        <w:rPr>
          <w:color w:val="000000"/>
          <w:lang w:val="en-US"/>
        </w:rPr>
      </w:pPr>
      <w:r w:rsidRPr="00DA127C">
        <w:rPr>
          <w:color w:val="000000"/>
          <w:lang w:val="en-US"/>
        </w:rPr>
        <w:t>All possible RB configurations (3CC configuration 200+200_200 CCA)</w:t>
      </w:r>
    </w:p>
    <w:p w14:paraId="1EEA671D" w14:textId="2F9D3291" w:rsidR="00DA127C" w:rsidRPr="00A460E2" w:rsidRDefault="00DA127C" w:rsidP="00A460E2">
      <w:pPr>
        <w:jc w:val="both"/>
        <w:rPr>
          <w:color w:val="000000"/>
        </w:rPr>
      </w:pPr>
      <w:r>
        <w:rPr>
          <w:color w:val="000000"/>
        </w:rPr>
        <w:t>For all the above configurations, we will always assume that allocation starts from 24.25GHz lower edge of n258, i.e. a total guard band of 250MHz is available between the allocated RBs. We will consider both PC1 and PC3.</w:t>
      </w:r>
    </w:p>
    <w:p w14:paraId="0E477668" w14:textId="455D06D9" w:rsidR="0008531C" w:rsidRDefault="00DA127C" w:rsidP="00A460E2">
      <w:pPr>
        <w:jc w:val="both"/>
        <w:rPr>
          <w:color w:val="000000"/>
          <w:lang w:val="en-US"/>
        </w:rPr>
      </w:pPr>
      <w:r>
        <w:rPr>
          <w:color w:val="000000"/>
        </w:rPr>
        <w:t>Regarding the waveform,</w:t>
      </w:r>
      <w:r w:rsidR="00227DF0">
        <w:rPr>
          <w:color w:val="000000"/>
        </w:rPr>
        <w:t xml:space="preserve"> we assume</w:t>
      </w:r>
      <w:r w:rsidR="00227DF0" w:rsidRPr="00227DF0">
        <w:rPr>
          <w:color w:val="000000"/>
          <w:lang w:val="en-US"/>
        </w:rPr>
        <w:t xml:space="preserve"> SCS=60KHz, DFT-S-OFDM </w:t>
      </w:r>
      <w:r w:rsidR="00E322D7" w:rsidRPr="003162B6">
        <w:rPr>
          <w:lang w:val="en-US"/>
        </w:rPr>
        <w:t>QPSK</w:t>
      </w:r>
      <w:r w:rsidR="00227DF0" w:rsidRPr="003162B6">
        <w:rPr>
          <w:lang w:val="en-US"/>
        </w:rPr>
        <w:t xml:space="preserve">, </w:t>
      </w:r>
      <w:r w:rsidR="00227DF0" w:rsidRPr="00227DF0">
        <w:rPr>
          <w:color w:val="000000"/>
          <w:lang w:val="en-US"/>
        </w:rPr>
        <w:t>128RB0</w:t>
      </w:r>
      <w:r w:rsidR="0008531C">
        <w:rPr>
          <w:color w:val="000000"/>
          <w:lang w:val="en-US"/>
        </w:rPr>
        <w:t xml:space="preserve"> since this </w:t>
      </w:r>
      <w:r w:rsidR="0008531C" w:rsidRPr="00ED000E">
        <w:rPr>
          <w:color w:val="000000"/>
          <w:lang w:val="en-US"/>
        </w:rPr>
        <w:t>is the waveform requiring less MPR according to our analysis</w:t>
      </w:r>
      <w:r w:rsidR="0008531C">
        <w:rPr>
          <w:color w:val="000000"/>
          <w:lang w:val="en-US"/>
        </w:rPr>
        <w:t xml:space="preserve">. </w:t>
      </w:r>
    </w:p>
    <w:p w14:paraId="2A8A8BB6" w14:textId="3EFF9CCE" w:rsidR="00227DF0" w:rsidRPr="00ED000E" w:rsidRDefault="0008531C" w:rsidP="00A460E2">
      <w:pPr>
        <w:jc w:val="both"/>
        <w:rPr>
          <w:color w:val="000000"/>
          <w:lang w:val="en-US"/>
        </w:rPr>
      </w:pPr>
      <w:r>
        <w:rPr>
          <w:color w:val="000000"/>
          <w:lang w:val="en-US"/>
        </w:rPr>
        <w:t xml:space="preserve">The results are summarized in </w:t>
      </w:r>
      <w:r w:rsidR="00E322D7" w:rsidRPr="00ED000E">
        <w:rPr>
          <w:color w:val="000000"/>
          <w:lang w:val="en-US"/>
        </w:rPr>
        <w:fldChar w:fldCharType="begin"/>
      </w:r>
      <w:r w:rsidR="00E322D7" w:rsidRPr="00ED000E">
        <w:rPr>
          <w:color w:val="000000"/>
          <w:lang w:val="en-US"/>
        </w:rPr>
        <w:instrText xml:space="preserve"> REF _Ref499203200 \h </w:instrText>
      </w:r>
      <w:r w:rsidR="00ED000E">
        <w:rPr>
          <w:color w:val="000000"/>
          <w:lang w:val="en-US"/>
        </w:rPr>
        <w:instrText xml:space="preserve"> \* MERGEFORMAT </w:instrText>
      </w:r>
      <w:r w:rsidR="00E322D7" w:rsidRPr="00ED000E">
        <w:rPr>
          <w:color w:val="000000"/>
          <w:lang w:val="en-US"/>
        </w:rPr>
      </w:r>
      <w:r w:rsidR="00E322D7" w:rsidRPr="00ED000E">
        <w:rPr>
          <w:color w:val="000000"/>
          <w:lang w:val="en-US"/>
        </w:rPr>
        <w:fldChar w:fldCharType="separate"/>
      </w:r>
      <w:r w:rsidR="00CE379E" w:rsidRPr="00ED000E">
        <w:t xml:space="preserve">Table </w:t>
      </w:r>
      <w:r w:rsidR="00CE379E">
        <w:rPr>
          <w:noProof/>
        </w:rPr>
        <w:t>3</w:t>
      </w:r>
      <w:r w:rsidR="00E322D7" w:rsidRPr="00ED000E">
        <w:rPr>
          <w:color w:val="000000"/>
          <w:lang w:val="en-US"/>
        </w:rPr>
        <w:fldChar w:fldCharType="end"/>
      </w:r>
      <w:r w:rsidR="00E322D7" w:rsidRPr="00ED000E">
        <w:rPr>
          <w:color w:val="000000"/>
          <w:lang w:val="en-US"/>
        </w:rPr>
        <w:t xml:space="preserve"> </w:t>
      </w:r>
      <w:r>
        <w:rPr>
          <w:color w:val="000000"/>
          <w:lang w:val="en-US"/>
        </w:rPr>
        <w:t xml:space="preserve">where a note giving more details </w:t>
      </w:r>
      <w:r w:rsidR="00E26215">
        <w:rPr>
          <w:color w:val="000000"/>
          <w:lang w:val="en-US"/>
        </w:rPr>
        <w:t>about the analyzed configuration is provided</w:t>
      </w:r>
      <w:r w:rsidR="001B7191" w:rsidRPr="00ED000E">
        <w:rPr>
          <w:color w:val="000000"/>
          <w:lang w:val="en-US"/>
        </w:rPr>
        <w:t xml:space="preserve">. </w:t>
      </w:r>
    </w:p>
    <w:p w14:paraId="4C828C76" w14:textId="04991110" w:rsidR="00565A4E" w:rsidRPr="00ED000E" w:rsidRDefault="00565A4E" w:rsidP="00753514">
      <w:pPr>
        <w:pStyle w:val="Caption"/>
        <w:keepNext/>
        <w:jc w:val="center"/>
      </w:pPr>
      <w:bookmarkStart w:id="4" w:name="_Ref499203200"/>
      <w:bookmarkStart w:id="5" w:name="_Ref510624255"/>
      <w:bookmarkStart w:id="6" w:name="_Ref510624251"/>
      <w:r w:rsidRPr="00ED000E">
        <w:t xml:space="preserve">Table </w:t>
      </w:r>
      <w:r w:rsidRPr="00ED000E">
        <w:fldChar w:fldCharType="begin"/>
      </w:r>
      <w:r w:rsidRPr="00ED000E">
        <w:instrText xml:space="preserve"> SEQ Table \* ARABIC </w:instrText>
      </w:r>
      <w:r w:rsidRPr="00ED000E">
        <w:fldChar w:fldCharType="separate"/>
      </w:r>
      <w:r w:rsidR="00CE379E">
        <w:rPr>
          <w:noProof/>
        </w:rPr>
        <w:t>3</w:t>
      </w:r>
      <w:r w:rsidRPr="00ED000E">
        <w:fldChar w:fldCharType="end"/>
      </w:r>
      <w:bookmarkEnd w:id="4"/>
      <w:bookmarkEnd w:id="5"/>
      <w:r w:rsidRPr="00ED000E">
        <w:t xml:space="preserve">. </w:t>
      </w:r>
      <w:r w:rsidR="00E322D7" w:rsidRPr="00ED000E">
        <w:t>Total back-off needed to meet -</w:t>
      </w:r>
      <w:r w:rsidR="0008531C">
        <w:t>3</w:t>
      </w:r>
      <w:r w:rsidR="0008531C" w:rsidRPr="00ED000E">
        <w:t>8dB</w:t>
      </w:r>
      <w:r w:rsidR="0008531C">
        <w:t>W</w:t>
      </w:r>
      <w:r w:rsidR="00E322D7" w:rsidRPr="00ED000E">
        <w:t>/200MHz in 23.6-24GHz</w:t>
      </w:r>
      <w:r w:rsidRPr="00ED000E">
        <w:t>.</w:t>
      </w:r>
      <w:bookmarkEnd w:id="6"/>
    </w:p>
    <w:tbl>
      <w:tblPr>
        <w:tblW w:w="10118" w:type="dxa"/>
        <w:tblCellMar>
          <w:left w:w="70" w:type="dxa"/>
          <w:right w:w="70" w:type="dxa"/>
        </w:tblCellMar>
        <w:tblLook w:val="04A0" w:firstRow="1" w:lastRow="0" w:firstColumn="1" w:lastColumn="0" w:noHBand="0" w:noVBand="1"/>
      </w:tblPr>
      <w:tblGrid>
        <w:gridCol w:w="3062"/>
        <w:gridCol w:w="898"/>
        <w:gridCol w:w="942"/>
        <w:gridCol w:w="5216"/>
      </w:tblGrid>
      <w:tr w:rsidR="0008531C" w:rsidRPr="0008531C" w14:paraId="0CBA9B3D" w14:textId="77777777" w:rsidTr="00A460E2">
        <w:trPr>
          <w:trHeight w:val="412"/>
        </w:trPr>
        <w:tc>
          <w:tcPr>
            <w:tcW w:w="3062"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2533DF4A" w14:textId="77777777" w:rsidR="0008531C" w:rsidRPr="00A460E2" w:rsidRDefault="0008531C" w:rsidP="0008531C">
            <w:pPr>
              <w:spacing w:after="0"/>
              <w:jc w:val="center"/>
              <w:rPr>
                <w:b/>
                <w:color w:val="000000"/>
                <w:szCs w:val="22"/>
                <w:lang w:val="it-IT" w:eastAsia="it-IT"/>
              </w:rPr>
            </w:pPr>
            <w:r w:rsidRPr="00A460E2">
              <w:rPr>
                <w:b/>
                <w:color w:val="000000"/>
                <w:szCs w:val="22"/>
                <w:lang w:val="it-IT" w:eastAsia="it-IT"/>
              </w:rPr>
              <w:t>Configuration</w:t>
            </w:r>
          </w:p>
        </w:tc>
        <w:tc>
          <w:tcPr>
            <w:tcW w:w="18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209EEDA" w14:textId="77777777" w:rsidR="0008531C" w:rsidRPr="00A460E2" w:rsidRDefault="0008531C" w:rsidP="0008531C">
            <w:pPr>
              <w:spacing w:after="0"/>
              <w:jc w:val="center"/>
              <w:rPr>
                <w:b/>
                <w:color w:val="000000"/>
                <w:szCs w:val="22"/>
                <w:lang w:val="it-IT" w:eastAsia="it-IT"/>
              </w:rPr>
            </w:pPr>
            <w:r w:rsidRPr="00A460E2">
              <w:rPr>
                <w:b/>
                <w:color w:val="000000"/>
                <w:szCs w:val="22"/>
                <w:lang w:val="it-IT" w:eastAsia="it-IT"/>
              </w:rPr>
              <w:t>Back off, dB</w:t>
            </w:r>
          </w:p>
        </w:tc>
        <w:tc>
          <w:tcPr>
            <w:tcW w:w="521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21CFA49" w14:textId="77777777" w:rsidR="0008531C" w:rsidRPr="00A460E2" w:rsidRDefault="0008531C" w:rsidP="0008531C">
            <w:pPr>
              <w:spacing w:after="0"/>
              <w:jc w:val="center"/>
              <w:rPr>
                <w:b/>
                <w:color w:val="000000"/>
                <w:szCs w:val="22"/>
                <w:lang w:val="it-IT" w:eastAsia="it-IT"/>
              </w:rPr>
            </w:pPr>
            <w:r w:rsidRPr="00A460E2">
              <w:rPr>
                <w:b/>
                <w:color w:val="000000"/>
                <w:szCs w:val="22"/>
                <w:lang w:val="it-IT" w:eastAsia="it-IT"/>
              </w:rPr>
              <w:t>Notes</w:t>
            </w:r>
          </w:p>
        </w:tc>
      </w:tr>
      <w:tr w:rsidR="0008531C" w:rsidRPr="0008531C" w14:paraId="72092E5C" w14:textId="77777777" w:rsidTr="00A460E2">
        <w:trPr>
          <w:trHeight w:val="412"/>
        </w:trPr>
        <w:tc>
          <w:tcPr>
            <w:tcW w:w="3062" w:type="dxa"/>
            <w:vMerge/>
            <w:tcBorders>
              <w:top w:val="single" w:sz="8" w:space="0" w:color="auto"/>
              <w:left w:val="single" w:sz="8" w:space="0" w:color="auto"/>
              <w:bottom w:val="single" w:sz="8" w:space="0" w:color="000000"/>
              <w:right w:val="nil"/>
            </w:tcBorders>
            <w:vAlign w:val="center"/>
            <w:hideMark/>
          </w:tcPr>
          <w:p w14:paraId="6DE22908" w14:textId="77777777" w:rsidR="0008531C" w:rsidRPr="00A460E2" w:rsidRDefault="0008531C" w:rsidP="0008531C">
            <w:pPr>
              <w:spacing w:after="0"/>
              <w:rPr>
                <w:color w:val="000000"/>
                <w:szCs w:val="22"/>
                <w:lang w:val="it-IT" w:eastAsia="it-IT"/>
              </w:rPr>
            </w:pPr>
          </w:p>
        </w:tc>
        <w:tc>
          <w:tcPr>
            <w:tcW w:w="898" w:type="dxa"/>
            <w:tcBorders>
              <w:top w:val="nil"/>
              <w:left w:val="single" w:sz="8" w:space="0" w:color="auto"/>
              <w:bottom w:val="single" w:sz="8" w:space="0" w:color="auto"/>
              <w:right w:val="single" w:sz="4" w:space="0" w:color="auto"/>
            </w:tcBorders>
            <w:shd w:val="clear" w:color="auto" w:fill="auto"/>
            <w:noWrap/>
            <w:vAlign w:val="bottom"/>
            <w:hideMark/>
          </w:tcPr>
          <w:p w14:paraId="184D08C0" w14:textId="77777777" w:rsidR="0008531C" w:rsidRPr="00A460E2" w:rsidRDefault="0008531C" w:rsidP="0008531C">
            <w:pPr>
              <w:spacing w:after="0"/>
              <w:jc w:val="center"/>
              <w:rPr>
                <w:b/>
                <w:color w:val="000000"/>
                <w:szCs w:val="22"/>
                <w:lang w:val="it-IT" w:eastAsia="it-IT"/>
              </w:rPr>
            </w:pPr>
            <w:r w:rsidRPr="00A460E2">
              <w:rPr>
                <w:b/>
                <w:color w:val="000000"/>
                <w:szCs w:val="22"/>
                <w:lang w:val="it-IT" w:eastAsia="it-IT"/>
              </w:rPr>
              <w:t>PC3</w:t>
            </w:r>
          </w:p>
        </w:tc>
        <w:tc>
          <w:tcPr>
            <w:tcW w:w="942" w:type="dxa"/>
            <w:tcBorders>
              <w:top w:val="nil"/>
              <w:left w:val="nil"/>
              <w:bottom w:val="single" w:sz="8" w:space="0" w:color="auto"/>
              <w:right w:val="single" w:sz="8" w:space="0" w:color="auto"/>
            </w:tcBorders>
            <w:shd w:val="clear" w:color="auto" w:fill="auto"/>
            <w:noWrap/>
            <w:vAlign w:val="bottom"/>
            <w:hideMark/>
          </w:tcPr>
          <w:p w14:paraId="5E557681" w14:textId="77777777" w:rsidR="0008531C" w:rsidRPr="00A460E2" w:rsidRDefault="0008531C" w:rsidP="0008531C">
            <w:pPr>
              <w:spacing w:after="0"/>
              <w:jc w:val="center"/>
              <w:rPr>
                <w:b/>
                <w:color w:val="000000"/>
                <w:szCs w:val="22"/>
                <w:lang w:val="it-IT" w:eastAsia="it-IT"/>
              </w:rPr>
            </w:pPr>
            <w:r w:rsidRPr="00A460E2">
              <w:rPr>
                <w:b/>
                <w:color w:val="000000"/>
                <w:szCs w:val="22"/>
                <w:lang w:val="it-IT" w:eastAsia="it-IT"/>
              </w:rPr>
              <w:t>PC1</w:t>
            </w:r>
          </w:p>
        </w:tc>
        <w:tc>
          <w:tcPr>
            <w:tcW w:w="5216" w:type="dxa"/>
            <w:vMerge/>
            <w:tcBorders>
              <w:top w:val="single" w:sz="8" w:space="0" w:color="auto"/>
              <w:left w:val="single" w:sz="8" w:space="0" w:color="auto"/>
              <w:bottom w:val="single" w:sz="8" w:space="0" w:color="000000"/>
              <w:right w:val="single" w:sz="8" w:space="0" w:color="auto"/>
            </w:tcBorders>
            <w:vAlign w:val="center"/>
            <w:hideMark/>
          </w:tcPr>
          <w:p w14:paraId="0FB01B04" w14:textId="77777777" w:rsidR="0008531C" w:rsidRPr="00A460E2" w:rsidRDefault="0008531C" w:rsidP="0008531C">
            <w:pPr>
              <w:spacing w:after="0"/>
              <w:rPr>
                <w:color w:val="000000"/>
                <w:szCs w:val="22"/>
                <w:lang w:val="it-IT" w:eastAsia="it-IT"/>
              </w:rPr>
            </w:pPr>
          </w:p>
        </w:tc>
      </w:tr>
      <w:tr w:rsidR="0008531C" w:rsidRPr="00A460E2" w14:paraId="1C55E354" w14:textId="77777777" w:rsidTr="0008531C">
        <w:trPr>
          <w:trHeight w:val="398"/>
        </w:trPr>
        <w:tc>
          <w:tcPr>
            <w:tcW w:w="3062" w:type="dxa"/>
            <w:tcBorders>
              <w:top w:val="nil"/>
              <w:left w:val="single" w:sz="8" w:space="0" w:color="auto"/>
              <w:bottom w:val="single" w:sz="4" w:space="0" w:color="auto"/>
              <w:right w:val="single" w:sz="4" w:space="0" w:color="auto"/>
            </w:tcBorders>
            <w:shd w:val="clear" w:color="auto" w:fill="auto"/>
            <w:noWrap/>
            <w:vAlign w:val="bottom"/>
            <w:hideMark/>
          </w:tcPr>
          <w:p w14:paraId="65446B51"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8CC Worst Case Noncontig</w:t>
            </w:r>
          </w:p>
        </w:tc>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0CD5F1D9"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4.2</w:t>
            </w:r>
          </w:p>
        </w:tc>
        <w:tc>
          <w:tcPr>
            <w:tcW w:w="942" w:type="dxa"/>
            <w:tcBorders>
              <w:top w:val="nil"/>
              <w:left w:val="single" w:sz="4" w:space="0" w:color="auto"/>
              <w:bottom w:val="single" w:sz="4" w:space="0" w:color="auto"/>
              <w:right w:val="single" w:sz="4" w:space="0" w:color="auto"/>
            </w:tcBorders>
            <w:shd w:val="clear" w:color="auto" w:fill="auto"/>
            <w:noWrap/>
            <w:vAlign w:val="bottom"/>
            <w:hideMark/>
          </w:tcPr>
          <w:p w14:paraId="06ABC922"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8.6</w:t>
            </w:r>
          </w:p>
        </w:tc>
        <w:tc>
          <w:tcPr>
            <w:tcW w:w="5216" w:type="dxa"/>
            <w:tcBorders>
              <w:top w:val="nil"/>
              <w:left w:val="single" w:sz="4" w:space="0" w:color="auto"/>
              <w:bottom w:val="single" w:sz="4" w:space="0" w:color="auto"/>
              <w:right w:val="single" w:sz="8" w:space="0" w:color="auto"/>
            </w:tcBorders>
            <w:shd w:val="clear" w:color="auto" w:fill="auto"/>
            <w:noWrap/>
            <w:vAlign w:val="bottom"/>
            <w:hideMark/>
          </w:tcPr>
          <w:p w14:paraId="074FD2C7" w14:textId="77777777" w:rsidR="0008531C" w:rsidRPr="00A460E2" w:rsidRDefault="0008531C" w:rsidP="0008531C">
            <w:pPr>
              <w:spacing w:after="0"/>
              <w:rPr>
                <w:color w:val="000000"/>
                <w:szCs w:val="22"/>
                <w:lang w:val="en-US" w:eastAsia="it-IT"/>
              </w:rPr>
            </w:pPr>
            <w:r w:rsidRPr="00A460E2">
              <w:rPr>
                <w:color w:val="000000"/>
                <w:szCs w:val="22"/>
                <w:lang w:val="en-US" w:eastAsia="it-IT"/>
              </w:rPr>
              <w:t>Using 8CC's and populate 3 100M CC's with 1RB+1RB+1RB (300M spacing NC-CA)</w:t>
            </w:r>
          </w:p>
        </w:tc>
      </w:tr>
      <w:tr w:rsidR="0008531C" w:rsidRPr="00A460E2" w14:paraId="2A8A30F7"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5FEC87C"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3CC 200+200+200 Non contig</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E1503"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4.2</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8F75F"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8.6</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E16C4D6" w14:textId="77777777" w:rsidR="0008531C" w:rsidRPr="00A460E2" w:rsidRDefault="0008531C" w:rsidP="0008531C">
            <w:pPr>
              <w:spacing w:after="0"/>
              <w:rPr>
                <w:color w:val="000000"/>
                <w:szCs w:val="22"/>
                <w:lang w:val="en-US" w:eastAsia="it-IT"/>
              </w:rPr>
            </w:pPr>
            <w:r w:rsidRPr="00A460E2">
              <w:rPr>
                <w:color w:val="000000"/>
                <w:szCs w:val="22"/>
                <w:lang w:val="en-US" w:eastAsia="it-IT"/>
              </w:rPr>
              <w:t>All possible NC RB allocations across 3 CC's (CCA)</w:t>
            </w:r>
          </w:p>
        </w:tc>
      </w:tr>
      <w:tr w:rsidR="0008531C" w:rsidRPr="00A460E2" w14:paraId="175F403E"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2854ACD"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8CC_contig 800M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35080"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2.8</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3F08E"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6.8</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4B037F4" w14:textId="77777777" w:rsidR="0008531C" w:rsidRPr="00A460E2" w:rsidRDefault="0008531C" w:rsidP="0008531C">
            <w:pPr>
              <w:spacing w:after="0"/>
              <w:rPr>
                <w:color w:val="000000"/>
                <w:szCs w:val="22"/>
                <w:lang w:val="en-US" w:eastAsia="it-IT"/>
              </w:rPr>
            </w:pPr>
            <w:r w:rsidRPr="00A460E2">
              <w:rPr>
                <w:color w:val="000000"/>
                <w:szCs w:val="22"/>
                <w:lang w:val="en-US" w:eastAsia="it-IT"/>
              </w:rPr>
              <w:t>Max of all possible contiguous combinations of 100M CC's</w:t>
            </w:r>
          </w:p>
        </w:tc>
      </w:tr>
      <w:tr w:rsidR="0008531C" w:rsidRPr="00A460E2" w14:paraId="35455760"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C3051A2"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4CC_contig 800M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B875CA"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2.8</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B9A3A"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6.8</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DA886BA" w14:textId="77777777" w:rsidR="0008531C" w:rsidRPr="00A460E2" w:rsidRDefault="0008531C" w:rsidP="0008531C">
            <w:pPr>
              <w:spacing w:after="0"/>
              <w:rPr>
                <w:color w:val="000000"/>
                <w:szCs w:val="22"/>
                <w:lang w:val="en-US" w:eastAsia="it-IT"/>
              </w:rPr>
            </w:pPr>
            <w:r w:rsidRPr="00A460E2">
              <w:rPr>
                <w:color w:val="000000"/>
                <w:szCs w:val="22"/>
                <w:lang w:val="en-US" w:eastAsia="it-IT"/>
              </w:rPr>
              <w:t>Max of all possible contiguous combinations of 200M CC's</w:t>
            </w:r>
          </w:p>
        </w:tc>
      </w:tr>
      <w:tr w:rsidR="0008531C" w:rsidRPr="00A460E2" w14:paraId="13759F0D"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035D47E"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2CC_contig 800M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5BEB6"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2.6</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23D41"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6.5</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9C4F19A" w14:textId="77777777" w:rsidR="0008531C" w:rsidRPr="00A460E2" w:rsidRDefault="0008531C" w:rsidP="0008531C">
            <w:pPr>
              <w:spacing w:after="0"/>
              <w:rPr>
                <w:color w:val="000000"/>
                <w:szCs w:val="22"/>
                <w:lang w:val="en-US" w:eastAsia="it-IT"/>
              </w:rPr>
            </w:pPr>
            <w:r w:rsidRPr="00A460E2">
              <w:rPr>
                <w:color w:val="000000"/>
                <w:szCs w:val="22"/>
                <w:lang w:val="en-US" w:eastAsia="it-IT"/>
              </w:rPr>
              <w:t>Max of all possible contiguous combinations of 400M CC's</w:t>
            </w:r>
          </w:p>
        </w:tc>
      </w:tr>
      <w:tr w:rsidR="0008531C" w:rsidRPr="0008531C" w14:paraId="0CDF932D"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263842D"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1CC - 400M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26CA4"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1.1</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EB58E"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4.7</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8A7EA97" w14:textId="77777777" w:rsidR="0008531C" w:rsidRPr="00A460E2" w:rsidRDefault="0008531C" w:rsidP="0008531C">
            <w:pPr>
              <w:spacing w:after="0"/>
              <w:rPr>
                <w:color w:val="000000"/>
                <w:szCs w:val="22"/>
                <w:lang w:val="it-IT" w:eastAsia="it-IT"/>
              </w:rPr>
            </w:pPr>
            <w:r w:rsidRPr="00A460E2">
              <w:rPr>
                <w:color w:val="000000"/>
                <w:szCs w:val="22"/>
                <w:lang w:val="it-IT" w:eastAsia="it-IT"/>
              </w:rPr>
              <w:t> </w:t>
            </w:r>
          </w:p>
        </w:tc>
      </w:tr>
      <w:tr w:rsidR="0008531C" w:rsidRPr="0008531C" w14:paraId="20EDEF9E"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81DE389"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8CC_contig 800M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EF5D5"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9B7FC"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2.5</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1B3FC96" w14:textId="77777777" w:rsidR="0008531C" w:rsidRPr="00A460E2" w:rsidRDefault="0008531C" w:rsidP="0008531C">
            <w:pPr>
              <w:spacing w:after="0"/>
              <w:rPr>
                <w:color w:val="000000"/>
                <w:szCs w:val="22"/>
                <w:lang w:val="it-IT" w:eastAsia="it-IT"/>
              </w:rPr>
            </w:pPr>
            <w:r w:rsidRPr="00A460E2">
              <w:rPr>
                <w:color w:val="000000"/>
                <w:szCs w:val="22"/>
                <w:lang w:val="it-IT" w:eastAsia="it-IT"/>
              </w:rPr>
              <w:t>1RB LO fold</w:t>
            </w:r>
          </w:p>
        </w:tc>
      </w:tr>
      <w:tr w:rsidR="0008531C" w:rsidRPr="0008531C" w14:paraId="513737FA" w14:textId="77777777" w:rsidTr="0008531C">
        <w:trPr>
          <w:trHeight w:val="398"/>
        </w:trPr>
        <w:tc>
          <w:tcPr>
            <w:tcW w:w="30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30E543E"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8CC_contig 800M</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2B22E"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0</w:t>
            </w:r>
          </w:p>
        </w:tc>
        <w:tc>
          <w:tcPr>
            <w:tcW w:w="9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A5884"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3.3</w:t>
            </w:r>
          </w:p>
        </w:tc>
        <w:tc>
          <w:tcPr>
            <w:tcW w:w="5216"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0629692" w14:textId="77777777" w:rsidR="0008531C" w:rsidRPr="00A460E2" w:rsidRDefault="0008531C" w:rsidP="0008531C">
            <w:pPr>
              <w:spacing w:after="0"/>
              <w:rPr>
                <w:color w:val="000000"/>
                <w:szCs w:val="22"/>
                <w:lang w:val="it-IT" w:eastAsia="it-IT"/>
              </w:rPr>
            </w:pPr>
            <w:r w:rsidRPr="00A460E2">
              <w:rPr>
                <w:color w:val="000000"/>
                <w:szCs w:val="22"/>
                <w:lang w:val="it-IT" w:eastAsia="it-IT"/>
              </w:rPr>
              <w:t>1RB RSB fold</w:t>
            </w:r>
          </w:p>
        </w:tc>
      </w:tr>
      <w:tr w:rsidR="0008531C" w:rsidRPr="00A460E2" w14:paraId="0063B66F" w14:textId="77777777" w:rsidTr="0008531C">
        <w:trPr>
          <w:trHeight w:val="412"/>
        </w:trPr>
        <w:tc>
          <w:tcPr>
            <w:tcW w:w="3062"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E6B62F6" w14:textId="77777777" w:rsidR="0008531C" w:rsidRPr="00A460E2" w:rsidRDefault="0008531C" w:rsidP="00A460E2">
            <w:pPr>
              <w:spacing w:after="0"/>
              <w:jc w:val="center"/>
              <w:rPr>
                <w:b/>
                <w:color w:val="000000"/>
                <w:szCs w:val="22"/>
                <w:lang w:val="it-IT" w:eastAsia="it-IT"/>
              </w:rPr>
            </w:pPr>
            <w:r w:rsidRPr="00A460E2">
              <w:rPr>
                <w:b/>
                <w:color w:val="000000"/>
                <w:szCs w:val="22"/>
                <w:lang w:val="it-IT" w:eastAsia="it-IT"/>
              </w:rPr>
              <w:t>8CC_contig 800M</w:t>
            </w:r>
          </w:p>
        </w:tc>
        <w:tc>
          <w:tcPr>
            <w:tcW w:w="898"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08C05BDA"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0</w:t>
            </w:r>
          </w:p>
        </w:tc>
        <w:tc>
          <w:tcPr>
            <w:tcW w:w="942"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6905D8F" w14:textId="77777777" w:rsidR="0008531C" w:rsidRPr="00A460E2" w:rsidRDefault="0008531C" w:rsidP="0008531C">
            <w:pPr>
              <w:spacing w:after="0"/>
              <w:jc w:val="center"/>
              <w:rPr>
                <w:color w:val="000000"/>
                <w:szCs w:val="22"/>
                <w:lang w:val="it-IT" w:eastAsia="it-IT"/>
              </w:rPr>
            </w:pPr>
            <w:r w:rsidRPr="00A460E2">
              <w:rPr>
                <w:color w:val="000000"/>
                <w:szCs w:val="22"/>
                <w:lang w:val="it-IT" w:eastAsia="it-IT"/>
              </w:rPr>
              <w:t>3.9</w:t>
            </w:r>
          </w:p>
        </w:tc>
        <w:tc>
          <w:tcPr>
            <w:tcW w:w="5216"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B622CF5" w14:textId="77777777" w:rsidR="0008531C" w:rsidRPr="00A460E2" w:rsidRDefault="0008531C" w:rsidP="0008531C">
            <w:pPr>
              <w:spacing w:after="0"/>
              <w:rPr>
                <w:color w:val="000000"/>
                <w:szCs w:val="22"/>
                <w:lang w:val="en-US" w:eastAsia="it-IT"/>
              </w:rPr>
            </w:pPr>
            <w:r w:rsidRPr="00A460E2">
              <w:rPr>
                <w:color w:val="000000"/>
                <w:szCs w:val="22"/>
                <w:lang w:val="en-US" w:eastAsia="it-IT"/>
              </w:rPr>
              <w:t>92</w:t>
            </w:r>
            <w:proofErr w:type="gramStart"/>
            <w:r w:rsidRPr="00A460E2">
              <w:rPr>
                <w:color w:val="000000"/>
                <w:szCs w:val="22"/>
                <w:lang w:val="en-US" w:eastAsia="it-IT"/>
              </w:rPr>
              <w:t>RB  RSB</w:t>
            </w:r>
            <w:proofErr w:type="gramEnd"/>
            <w:r w:rsidRPr="00A460E2">
              <w:rPr>
                <w:color w:val="000000"/>
                <w:szCs w:val="22"/>
                <w:lang w:val="en-US" w:eastAsia="it-IT"/>
              </w:rPr>
              <w:t xml:space="preserve"> fold   (200M emission BW) </w:t>
            </w:r>
          </w:p>
        </w:tc>
      </w:tr>
    </w:tbl>
    <w:p w14:paraId="00A1108A" w14:textId="2BBEC135" w:rsidR="00565A4E" w:rsidRPr="00A460E2" w:rsidRDefault="00565A4E" w:rsidP="0091110E">
      <w:pPr>
        <w:jc w:val="both"/>
        <w:rPr>
          <w:color w:val="000000"/>
          <w:lang w:val="en-US"/>
        </w:rPr>
      </w:pPr>
    </w:p>
    <w:p w14:paraId="73E098F3" w14:textId="0A589093" w:rsidR="00E26215" w:rsidRDefault="00E26215" w:rsidP="00E322D7">
      <w:pPr>
        <w:jc w:val="both"/>
        <w:rPr>
          <w:b/>
          <w:color w:val="000000"/>
        </w:rPr>
      </w:pPr>
    </w:p>
    <w:p w14:paraId="02AF1945" w14:textId="7D491A94" w:rsidR="00E26215" w:rsidRPr="00A460E2" w:rsidRDefault="005574CA" w:rsidP="00E322D7">
      <w:pPr>
        <w:jc w:val="both"/>
        <w:rPr>
          <w:color w:val="000000"/>
        </w:rPr>
      </w:pPr>
      <w:r w:rsidRPr="00A460E2">
        <w:rPr>
          <w:color w:val="000000"/>
        </w:rPr>
        <w:t>To estim</w:t>
      </w:r>
      <w:r>
        <w:rPr>
          <w:color w:val="000000"/>
        </w:rPr>
        <w:t xml:space="preserve">ate whether A-MPR is or is not required in the different cases, we cross check the summary in </w:t>
      </w:r>
      <w:r>
        <w:rPr>
          <w:color w:val="000000"/>
        </w:rPr>
        <w:fldChar w:fldCharType="begin"/>
      </w:r>
      <w:r>
        <w:rPr>
          <w:color w:val="000000"/>
        </w:rPr>
        <w:instrText xml:space="preserve"> REF _Ref499203200 \h </w:instrText>
      </w:r>
      <w:r>
        <w:rPr>
          <w:color w:val="000000"/>
        </w:rPr>
      </w:r>
      <w:r>
        <w:rPr>
          <w:color w:val="000000"/>
        </w:rPr>
        <w:fldChar w:fldCharType="separate"/>
      </w:r>
      <w:r w:rsidR="00CE379E" w:rsidRPr="00ED000E">
        <w:t xml:space="preserve">Table </w:t>
      </w:r>
      <w:r w:rsidR="00CE379E">
        <w:rPr>
          <w:noProof/>
        </w:rPr>
        <w:t>3</w:t>
      </w:r>
      <w:r>
        <w:rPr>
          <w:color w:val="000000"/>
        </w:rPr>
        <w:fldChar w:fldCharType="end"/>
      </w:r>
      <w:r>
        <w:rPr>
          <w:color w:val="000000"/>
        </w:rPr>
        <w:t xml:space="preserve"> with our proposed MPR in</w:t>
      </w:r>
      <w:r w:rsidR="00CE379E">
        <w:rPr>
          <w:color w:val="000000"/>
        </w:rPr>
        <w:t xml:space="preserve"> </w:t>
      </w:r>
      <w:r w:rsidR="00CE379E">
        <w:rPr>
          <w:color w:val="000000"/>
        </w:rPr>
        <w:fldChar w:fldCharType="begin"/>
      </w:r>
      <w:r w:rsidR="00CE379E">
        <w:rPr>
          <w:color w:val="000000"/>
        </w:rPr>
        <w:instrText xml:space="preserve"> REF _Ref521689389 \r \h </w:instrText>
      </w:r>
      <w:r w:rsidR="00CE379E">
        <w:rPr>
          <w:color w:val="000000"/>
        </w:rPr>
      </w:r>
      <w:r w:rsidR="00CE379E">
        <w:rPr>
          <w:color w:val="000000"/>
        </w:rPr>
        <w:fldChar w:fldCharType="separate"/>
      </w:r>
      <w:r w:rsidR="00CE379E">
        <w:rPr>
          <w:color w:val="000000"/>
        </w:rPr>
        <w:t>[4]</w:t>
      </w:r>
      <w:r w:rsidR="00CE379E">
        <w:rPr>
          <w:color w:val="000000"/>
        </w:rPr>
        <w:fldChar w:fldCharType="end"/>
      </w:r>
      <w:r w:rsidR="00CE379E">
        <w:rPr>
          <w:color w:val="000000"/>
        </w:rPr>
        <w:fldChar w:fldCharType="begin"/>
      </w:r>
      <w:r w:rsidR="00CE379E">
        <w:rPr>
          <w:color w:val="000000"/>
        </w:rPr>
        <w:instrText xml:space="preserve"> REF _Ref521689391 \r \h </w:instrText>
      </w:r>
      <w:r w:rsidR="00CE379E">
        <w:rPr>
          <w:color w:val="000000"/>
        </w:rPr>
      </w:r>
      <w:r w:rsidR="00CE379E">
        <w:rPr>
          <w:color w:val="000000"/>
        </w:rPr>
        <w:fldChar w:fldCharType="separate"/>
      </w:r>
      <w:r w:rsidR="00CE379E">
        <w:rPr>
          <w:color w:val="000000"/>
        </w:rPr>
        <w:t>[5]</w:t>
      </w:r>
      <w:r w:rsidR="00CE379E">
        <w:rPr>
          <w:color w:val="000000"/>
        </w:rPr>
        <w:fldChar w:fldCharType="end"/>
      </w:r>
      <w:r w:rsidR="00CE379E">
        <w:rPr>
          <w:color w:val="000000"/>
        </w:rPr>
        <w:fldChar w:fldCharType="begin"/>
      </w:r>
      <w:r w:rsidR="00CE379E">
        <w:rPr>
          <w:color w:val="000000"/>
        </w:rPr>
        <w:instrText xml:space="preserve"> REF _Ref521689394 \r \h </w:instrText>
      </w:r>
      <w:r w:rsidR="00CE379E">
        <w:rPr>
          <w:color w:val="000000"/>
        </w:rPr>
      </w:r>
      <w:r w:rsidR="00CE379E">
        <w:rPr>
          <w:color w:val="000000"/>
        </w:rPr>
        <w:fldChar w:fldCharType="separate"/>
      </w:r>
      <w:r w:rsidR="00CE379E">
        <w:rPr>
          <w:color w:val="000000"/>
        </w:rPr>
        <w:t>[6]</w:t>
      </w:r>
      <w:r w:rsidR="00CE379E">
        <w:rPr>
          <w:color w:val="000000"/>
        </w:rPr>
        <w:fldChar w:fldCharType="end"/>
      </w:r>
      <w:r w:rsidR="00CE379E">
        <w:rPr>
          <w:color w:val="000000"/>
        </w:rPr>
        <w:fldChar w:fldCharType="begin"/>
      </w:r>
      <w:r w:rsidR="00CE379E">
        <w:rPr>
          <w:color w:val="000000"/>
        </w:rPr>
        <w:instrText xml:space="preserve"> REF _Ref521689395 \r \h </w:instrText>
      </w:r>
      <w:r w:rsidR="00CE379E">
        <w:rPr>
          <w:color w:val="000000"/>
        </w:rPr>
      </w:r>
      <w:r w:rsidR="00CE379E">
        <w:rPr>
          <w:color w:val="000000"/>
        </w:rPr>
        <w:fldChar w:fldCharType="separate"/>
      </w:r>
      <w:r w:rsidR="00CE379E">
        <w:rPr>
          <w:color w:val="000000"/>
        </w:rPr>
        <w:t>[7]</w:t>
      </w:r>
      <w:r w:rsidR="00CE379E">
        <w:rPr>
          <w:color w:val="000000"/>
        </w:rPr>
        <w:fldChar w:fldCharType="end"/>
      </w:r>
      <w:r>
        <w:rPr>
          <w:color w:val="000000"/>
        </w:rPr>
        <w:t xml:space="preserve">, the conclusions are listed in </w:t>
      </w:r>
      <w:r>
        <w:rPr>
          <w:color w:val="000000"/>
        </w:rPr>
        <w:fldChar w:fldCharType="begin"/>
      </w:r>
      <w:r>
        <w:rPr>
          <w:color w:val="000000"/>
        </w:rPr>
        <w:instrText xml:space="preserve"> REF _Ref520219938 \h </w:instrText>
      </w:r>
      <w:r>
        <w:rPr>
          <w:color w:val="000000"/>
        </w:rPr>
      </w:r>
      <w:r>
        <w:rPr>
          <w:color w:val="000000"/>
        </w:rPr>
        <w:fldChar w:fldCharType="separate"/>
      </w:r>
      <w:r w:rsidR="00CE379E">
        <w:t xml:space="preserve">Table </w:t>
      </w:r>
      <w:r w:rsidR="00CE379E">
        <w:rPr>
          <w:noProof/>
        </w:rPr>
        <w:t>4</w:t>
      </w:r>
      <w:r>
        <w:rPr>
          <w:color w:val="000000"/>
        </w:rPr>
        <w:fldChar w:fldCharType="end"/>
      </w:r>
      <w:r>
        <w:rPr>
          <w:color w:val="000000"/>
        </w:rPr>
        <w:t>.</w:t>
      </w:r>
    </w:p>
    <w:p w14:paraId="78711622" w14:textId="7F0F3988" w:rsidR="00F76E59" w:rsidRDefault="00F76E59" w:rsidP="00A460E2">
      <w:pPr>
        <w:pStyle w:val="Caption"/>
        <w:keepNext/>
        <w:jc w:val="center"/>
      </w:pPr>
      <w:bookmarkStart w:id="7" w:name="_Ref520219938"/>
      <w:r>
        <w:t xml:space="preserve">Table </w:t>
      </w:r>
      <w:r>
        <w:fldChar w:fldCharType="begin"/>
      </w:r>
      <w:r>
        <w:instrText xml:space="preserve"> SEQ Table \* ARABIC </w:instrText>
      </w:r>
      <w:r>
        <w:fldChar w:fldCharType="separate"/>
      </w:r>
      <w:r w:rsidR="00CE379E">
        <w:rPr>
          <w:noProof/>
        </w:rPr>
        <w:t>4</w:t>
      </w:r>
      <w:r>
        <w:fldChar w:fldCharType="end"/>
      </w:r>
      <w:bookmarkEnd w:id="7"/>
      <w:r>
        <w:t>. Summary of cases in which A-MPR might or might not be required.</w:t>
      </w:r>
    </w:p>
    <w:tbl>
      <w:tblPr>
        <w:tblStyle w:val="TableGrid"/>
        <w:tblW w:w="0" w:type="auto"/>
        <w:tblLook w:val="04A0" w:firstRow="1" w:lastRow="0" w:firstColumn="1" w:lastColumn="0" w:noHBand="0" w:noVBand="1"/>
      </w:tblPr>
      <w:tblGrid>
        <w:gridCol w:w="3207"/>
        <w:gridCol w:w="3207"/>
        <w:gridCol w:w="3207"/>
      </w:tblGrid>
      <w:tr w:rsidR="00E26215" w14:paraId="221B0B52" w14:textId="77777777" w:rsidTr="00E26215">
        <w:tc>
          <w:tcPr>
            <w:tcW w:w="3207" w:type="dxa"/>
          </w:tcPr>
          <w:p w14:paraId="3098EC63" w14:textId="1D4FCB87" w:rsidR="00E26215" w:rsidRDefault="00E26215" w:rsidP="00A460E2">
            <w:pPr>
              <w:jc w:val="center"/>
              <w:rPr>
                <w:b/>
                <w:color w:val="000000"/>
              </w:rPr>
            </w:pPr>
            <w:r>
              <w:rPr>
                <w:b/>
                <w:color w:val="000000"/>
              </w:rPr>
              <w:t>Power Class/CA mode</w:t>
            </w:r>
          </w:p>
        </w:tc>
        <w:tc>
          <w:tcPr>
            <w:tcW w:w="3207" w:type="dxa"/>
          </w:tcPr>
          <w:p w14:paraId="75B158EB" w14:textId="2D2326E9" w:rsidR="00E26215" w:rsidRDefault="00E26215" w:rsidP="00A460E2">
            <w:pPr>
              <w:jc w:val="center"/>
              <w:rPr>
                <w:b/>
                <w:color w:val="000000"/>
              </w:rPr>
            </w:pPr>
            <w:r>
              <w:rPr>
                <w:b/>
                <w:color w:val="000000"/>
              </w:rPr>
              <w:t>Single CC</w:t>
            </w:r>
          </w:p>
        </w:tc>
        <w:tc>
          <w:tcPr>
            <w:tcW w:w="3207" w:type="dxa"/>
          </w:tcPr>
          <w:p w14:paraId="2FAD3019" w14:textId="50947815" w:rsidR="00E26215" w:rsidRDefault="00E26215" w:rsidP="00A460E2">
            <w:pPr>
              <w:jc w:val="center"/>
              <w:rPr>
                <w:b/>
                <w:color w:val="000000"/>
              </w:rPr>
            </w:pPr>
            <w:r>
              <w:rPr>
                <w:b/>
                <w:color w:val="000000"/>
              </w:rPr>
              <w:t>CA</w:t>
            </w:r>
          </w:p>
        </w:tc>
      </w:tr>
      <w:tr w:rsidR="00E26215" w14:paraId="60988E2E" w14:textId="77777777" w:rsidTr="00E26215">
        <w:tc>
          <w:tcPr>
            <w:tcW w:w="3207" w:type="dxa"/>
          </w:tcPr>
          <w:p w14:paraId="028E1346" w14:textId="14D8D758" w:rsidR="00E26215" w:rsidRDefault="00E26215" w:rsidP="00A460E2">
            <w:pPr>
              <w:jc w:val="center"/>
              <w:rPr>
                <w:b/>
                <w:color w:val="000000"/>
              </w:rPr>
            </w:pPr>
            <w:r>
              <w:rPr>
                <w:b/>
                <w:color w:val="000000"/>
              </w:rPr>
              <w:t>PC 1</w:t>
            </w:r>
          </w:p>
        </w:tc>
        <w:tc>
          <w:tcPr>
            <w:tcW w:w="3207" w:type="dxa"/>
          </w:tcPr>
          <w:p w14:paraId="04BBB072" w14:textId="77777777" w:rsidR="00F76E59" w:rsidRPr="00A460E2" w:rsidRDefault="00F76E59" w:rsidP="00F76E59">
            <w:pPr>
              <w:jc w:val="center"/>
              <w:rPr>
                <w:color w:val="000000"/>
                <w:lang w:val="en-US"/>
              </w:rPr>
            </w:pPr>
            <w:r w:rsidRPr="00A460E2">
              <w:rPr>
                <w:color w:val="000000"/>
                <w:highlight w:val="green"/>
                <w:lang w:val="en-US"/>
              </w:rPr>
              <w:t>No A-MPR for outer RB allocations</w:t>
            </w:r>
          </w:p>
          <w:p w14:paraId="1F8606AD" w14:textId="2F6CBE70" w:rsidR="00E26215" w:rsidRPr="00A460E2" w:rsidRDefault="00F76E59" w:rsidP="00A460E2">
            <w:pPr>
              <w:jc w:val="center"/>
              <w:rPr>
                <w:b/>
                <w:color w:val="000000"/>
                <w:lang w:val="en-US"/>
              </w:rPr>
            </w:pPr>
            <w:r w:rsidRPr="00A460E2">
              <w:rPr>
                <w:color w:val="000000"/>
                <w:highlight w:val="yellow"/>
                <w:lang w:val="en-US"/>
              </w:rPr>
              <w:lastRenderedPageBreak/>
              <w:t>A-MPR required (2dB) for inner RB allocations – RSB folding 1RB.</w:t>
            </w:r>
          </w:p>
        </w:tc>
        <w:tc>
          <w:tcPr>
            <w:tcW w:w="3207" w:type="dxa"/>
          </w:tcPr>
          <w:p w14:paraId="77713FA6" w14:textId="77777777" w:rsidR="00F76E59" w:rsidRPr="00F76E59" w:rsidRDefault="00F76E59" w:rsidP="00F76E59">
            <w:pPr>
              <w:jc w:val="center"/>
              <w:rPr>
                <w:color w:val="000000"/>
                <w:lang w:val="en-US"/>
              </w:rPr>
            </w:pPr>
            <w:r w:rsidRPr="00A460E2">
              <w:rPr>
                <w:color w:val="000000"/>
                <w:highlight w:val="yellow"/>
                <w:lang w:val="en-US"/>
              </w:rPr>
              <w:lastRenderedPageBreak/>
              <w:t>Small A-MPR (1dB) maybe required</w:t>
            </w:r>
          </w:p>
          <w:p w14:paraId="73BACEB3" w14:textId="50C96B4D" w:rsidR="00E26215" w:rsidRPr="00A460E2" w:rsidRDefault="00F76E59" w:rsidP="00A460E2">
            <w:pPr>
              <w:jc w:val="center"/>
              <w:rPr>
                <w:b/>
                <w:color w:val="000000"/>
                <w:lang w:val="en-US"/>
              </w:rPr>
            </w:pPr>
            <w:r>
              <w:rPr>
                <w:color w:val="000000"/>
                <w:lang w:val="en-US"/>
              </w:rPr>
              <w:lastRenderedPageBreak/>
              <w:t xml:space="preserve">Note: </w:t>
            </w:r>
            <w:r w:rsidRPr="00F76E59">
              <w:rPr>
                <w:color w:val="000000"/>
                <w:lang w:val="en-US"/>
              </w:rPr>
              <w:t>Non-contiguous MPR driven by General SEM</w:t>
            </w:r>
          </w:p>
        </w:tc>
      </w:tr>
      <w:tr w:rsidR="00E26215" w14:paraId="63B62110" w14:textId="77777777" w:rsidTr="00E26215">
        <w:tc>
          <w:tcPr>
            <w:tcW w:w="3207" w:type="dxa"/>
          </w:tcPr>
          <w:p w14:paraId="57935CF1" w14:textId="580CE4B4" w:rsidR="00E26215" w:rsidRDefault="00E26215" w:rsidP="00A460E2">
            <w:pPr>
              <w:jc w:val="center"/>
              <w:rPr>
                <w:b/>
                <w:color w:val="000000"/>
              </w:rPr>
            </w:pPr>
            <w:r>
              <w:rPr>
                <w:b/>
                <w:color w:val="000000"/>
              </w:rPr>
              <w:lastRenderedPageBreak/>
              <w:t>PC3</w:t>
            </w:r>
          </w:p>
        </w:tc>
        <w:tc>
          <w:tcPr>
            <w:tcW w:w="3207" w:type="dxa"/>
          </w:tcPr>
          <w:p w14:paraId="4B616869" w14:textId="25F740D9" w:rsidR="00E26215" w:rsidRPr="00A460E2" w:rsidRDefault="00E26215" w:rsidP="00A460E2">
            <w:pPr>
              <w:jc w:val="center"/>
              <w:rPr>
                <w:color w:val="000000"/>
                <w:highlight w:val="green"/>
              </w:rPr>
            </w:pPr>
            <w:r w:rsidRPr="00A460E2">
              <w:rPr>
                <w:color w:val="000000"/>
                <w:highlight w:val="green"/>
              </w:rPr>
              <w:t>No A-MPR</w:t>
            </w:r>
          </w:p>
        </w:tc>
        <w:tc>
          <w:tcPr>
            <w:tcW w:w="3207" w:type="dxa"/>
          </w:tcPr>
          <w:p w14:paraId="72EF5C55" w14:textId="2C508AA1" w:rsidR="00E26215" w:rsidRPr="00A460E2" w:rsidRDefault="00E26215" w:rsidP="00A460E2">
            <w:pPr>
              <w:jc w:val="center"/>
              <w:rPr>
                <w:color w:val="000000"/>
                <w:highlight w:val="green"/>
                <w:lang w:val="en-US"/>
              </w:rPr>
            </w:pPr>
            <w:r w:rsidRPr="00A460E2">
              <w:rPr>
                <w:color w:val="000000"/>
                <w:highlight w:val="green"/>
              </w:rPr>
              <w:t>No A-MPR</w:t>
            </w:r>
            <w:r w:rsidRPr="00A460E2">
              <w:rPr>
                <w:color w:val="000000"/>
                <w:highlight w:val="green"/>
              </w:rPr>
              <w:br/>
            </w:r>
            <w:r w:rsidRPr="00A460E2">
              <w:rPr>
                <w:color w:val="000000"/>
              </w:rPr>
              <w:t>Note:</w:t>
            </w:r>
            <w:r w:rsidRPr="00A460E2">
              <w:t xml:space="preserve"> </w:t>
            </w:r>
            <w:r w:rsidRPr="00A460E2">
              <w:rPr>
                <w:color w:val="000000"/>
              </w:rPr>
              <w:t>Non-contiguous MPR driven by General SEM</w:t>
            </w:r>
          </w:p>
        </w:tc>
      </w:tr>
    </w:tbl>
    <w:p w14:paraId="1691020A" w14:textId="5199DC3D" w:rsidR="00E26215" w:rsidRDefault="00E26215" w:rsidP="00E322D7">
      <w:pPr>
        <w:jc w:val="both"/>
        <w:rPr>
          <w:b/>
          <w:color w:val="000000"/>
        </w:rPr>
      </w:pPr>
    </w:p>
    <w:p w14:paraId="4A9073AB" w14:textId="77777777" w:rsidR="00543C42" w:rsidRDefault="00543C42" w:rsidP="00543C42">
      <w:pPr>
        <w:jc w:val="both"/>
        <w:rPr>
          <w:color w:val="000000"/>
        </w:rPr>
      </w:pPr>
      <w:r w:rsidRPr="00AF52A9">
        <w:rPr>
          <w:color w:val="000000"/>
        </w:rPr>
        <w:t>As it can be observed</w:t>
      </w:r>
      <w:r>
        <w:rPr>
          <w:color w:val="000000"/>
        </w:rPr>
        <w:t>, for PC 3 our proposed MPR is enough to cover the back-off needed to protect EESS bands, therefore no A-MPR would be needed. For the PC 1, RSB folding could require up to 2dB A-MPR for inner RB allocations in single carrier mode. For CA case, a small A-MPR (up to 1dB) might also be required in case.</w:t>
      </w:r>
    </w:p>
    <w:p w14:paraId="22B2369F" w14:textId="77777777" w:rsidR="00543C42" w:rsidRPr="00AF52A9" w:rsidRDefault="00543C42" w:rsidP="00543C42">
      <w:pPr>
        <w:jc w:val="both"/>
        <w:rPr>
          <w:b/>
          <w:i/>
          <w:color w:val="000000"/>
        </w:rPr>
      </w:pPr>
      <w:r w:rsidRPr="00AF52A9">
        <w:rPr>
          <w:b/>
          <w:i/>
          <w:color w:val="000000"/>
        </w:rPr>
        <w:t>Observation: based on our analysis and proposed MPR:</w:t>
      </w:r>
    </w:p>
    <w:p w14:paraId="29E640E3" w14:textId="77777777" w:rsidR="00543C42" w:rsidRPr="00AF52A9" w:rsidRDefault="00543C42" w:rsidP="00543C42">
      <w:pPr>
        <w:pStyle w:val="ListParagraph"/>
        <w:numPr>
          <w:ilvl w:val="0"/>
          <w:numId w:val="49"/>
        </w:numPr>
        <w:jc w:val="both"/>
        <w:rPr>
          <w:b/>
          <w:i/>
          <w:color w:val="000000"/>
        </w:rPr>
      </w:pPr>
      <w:r w:rsidRPr="00AF52A9">
        <w:rPr>
          <w:b/>
          <w:i/>
          <w:color w:val="000000"/>
        </w:rPr>
        <w:t>No A-MPR is needed for PC 3.</w:t>
      </w:r>
    </w:p>
    <w:p w14:paraId="0154171D" w14:textId="77777777" w:rsidR="00543C42" w:rsidRPr="00AF52A9" w:rsidRDefault="00543C42" w:rsidP="00543C42">
      <w:pPr>
        <w:pStyle w:val="ListParagraph"/>
        <w:numPr>
          <w:ilvl w:val="0"/>
          <w:numId w:val="49"/>
        </w:numPr>
        <w:jc w:val="both"/>
        <w:rPr>
          <w:b/>
          <w:i/>
          <w:color w:val="000000"/>
        </w:rPr>
      </w:pPr>
      <w:r w:rsidRPr="00AF52A9">
        <w:rPr>
          <w:b/>
          <w:i/>
          <w:color w:val="000000"/>
        </w:rPr>
        <w:t>A-MPR up to 2dB might be required for PC 1.</w:t>
      </w:r>
    </w:p>
    <w:p w14:paraId="16A2E655" w14:textId="77777777" w:rsidR="00543C42" w:rsidRPr="00A460E2" w:rsidRDefault="00543C42" w:rsidP="00E322D7">
      <w:pPr>
        <w:jc w:val="both"/>
        <w:rPr>
          <w:b/>
          <w:color w:val="000000"/>
        </w:rPr>
      </w:pPr>
    </w:p>
    <w:p w14:paraId="53404A85" w14:textId="7A58A8B8" w:rsidR="007F2705" w:rsidRPr="00ED000E" w:rsidRDefault="00E26215" w:rsidP="00B80E63">
      <w:pPr>
        <w:pStyle w:val="Heading1"/>
        <w:numPr>
          <w:ilvl w:val="0"/>
          <w:numId w:val="0"/>
        </w:numPr>
        <w:tabs>
          <w:tab w:val="num" w:pos="432"/>
        </w:tabs>
        <w:ind w:left="432" w:hanging="432"/>
        <w:jc w:val="both"/>
        <w:rPr>
          <w:lang w:val="en-US"/>
        </w:rPr>
      </w:pPr>
      <w:r w:rsidRPr="00ED000E" w:rsidDel="00E26215">
        <w:rPr>
          <w:b/>
          <w:i/>
          <w:color w:val="000000"/>
        </w:rPr>
        <w:t xml:space="preserve"> </w:t>
      </w:r>
      <w:r w:rsidR="00B80E63" w:rsidRPr="00ED000E">
        <w:rPr>
          <w:lang w:val="en-US"/>
        </w:rPr>
        <w:t>Conclusions</w:t>
      </w:r>
    </w:p>
    <w:p w14:paraId="7218E67A" w14:textId="1AE05035" w:rsidR="003C658D" w:rsidRPr="00ED000E" w:rsidRDefault="0091110E" w:rsidP="0091110E">
      <w:pPr>
        <w:rPr>
          <w:lang w:val="en-US"/>
        </w:rPr>
      </w:pPr>
      <w:r w:rsidRPr="00ED000E">
        <w:rPr>
          <w:lang w:val="en-US"/>
        </w:rPr>
        <w:t>In this contribution, we analy</w:t>
      </w:r>
      <w:r w:rsidR="003C658D" w:rsidRPr="00ED000E">
        <w:rPr>
          <w:lang w:val="en-US"/>
        </w:rPr>
        <w:t>ze the additional requirements</w:t>
      </w:r>
      <w:r w:rsidRPr="00ED000E">
        <w:rPr>
          <w:lang w:val="en-US"/>
        </w:rPr>
        <w:t xml:space="preserve"> </w:t>
      </w:r>
      <w:r w:rsidR="003C658D" w:rsidRPr="00ED000E">
        <w:rPr>
          <w:lang w:val="en-US"/>
        </w:rPr>
        <w:t>of -</w:t>
      </w:r>
      <w:r w:rsidR="00E26215">
        <w:rPr>
          <w:lang w:val="en-US"/>
        </w:rPr>
        <w:t>3</w:t>
      </w:r>
      <w:r w:rsidR="00E322D7" w:rsidRPr="00ED000E">
        <w:rPr>
          <w:lang w:val="en-US"/>
        </w:rPr>
        <w:t>8</w:t>
      </w:r>
      <w:r w:rsidR="003C658D" w:rsidRPr="00ED000E">
        <w:rPr>
          <w:lang w:val="en-US"/>
        </w:rPr>
        <w:t>dBm/200MHz needed to protect passive bands. Based on the outcome of our analysis, we made the following</w:t>
      </w:r>
      <w:r w:rsidR="005574CA">
        <w:rPr>
          <w:lang w:val="en-US"/>
        </w:rPr>
        <w:t xml:space="preserve"> proposal and</w:t>
      </w:r>
      <w:r w:rsidR="00114FE8" w:rsidRPr="00ED000E">
        <w:rPr>
          <w:lang w:val="en-US"/>
        </w:rPr>
        <w:t xml:space="preserve"> </w:t>
      </w:r>
      <w:r w:rsidR="00E322D7" w:rsidRPr="00ED000E">
        <w:rPr>
          <w:lang w:val="en-US"/>
        </w:rPr>
        <w:t>observation</w:t>
      </w:r>
      <w:r w:rsidR="003C658D" w:rsidRPr="00ED000E">
        <w:rPr>
          <w:lang w:val="en-US"/>
        </w:rPr>
        <w:t>:</w:t>
      </w:r>
    </w:p>
    <w:p w14:paraId="37210346" w14:textId="4ED77D2A" w:rsidR="00EF3935" w:rsidRDefault="00EF3935" w:rsidP="00EF3935">
      <w:pPr>
        <w:jc w:val="both"/>
        <w:rPr>
          <w:b/>
          <w:color w:val="000000"/>
        </w:rPr>
      </w:pPr>
      <w:r w:rsidRPr="00AF52A9">
        <w:rPr>
          <w:b/>
          <w:i/>
          <w:color w:val="000000"/>
        </w:rPr>
        <w:t>Proposal:</w:t>
      </w:r>
      <w:r>
        <w:rPr>
          <w:b/>
          <w:i/>
          <w:color w:val="000000"/>
        </w:rPr>
        <w:t xml:space="preserve"> power back-off (if needed) to protect of EESS passive services should be specified as A-MPR.</w:t>
      </w:r>
    </w:p>
    <w:p w14:paraId="0D0FD1A0" w14:textId="73AFB789" w:rsidR="00EF3935" w:rsidRPr="00A460E2" w:rsidRDefault="00EF3935" w:rsidP="00EF3935">
      <w:pPr>
        <w:jc w:val="both"/>
        <w:rPr>
          <w:b/>
          <w:i/>
          <w:color w:val="000000"/>
        </w:rPr>
      </w:pPr>
      <w:r w:rsidRPr="00A460E2">
        <w:rPr>
          <w:b/>
          <w:i/>
          <w:color w:val="000000"/>
        </w:rPr>
        <w:t>Observation: based on our analysis and proposed MPR:</w:t>
      </w:r>
    </w:p>
    <w:p w14:paraId="32E9A8FD" w14:textId="77777777" w:rsidR="00EF3935" w:rsidRPr="00A460E2" w:rsidRDefault="00EF3935" w:rsidP="00EF3935">
      <w:pPr>
        <w:pStyle w:val="ListParagraph"/>
        <w:numPr>
          <w:ilvl w:val="0"/>
          <w:numId w:val="49"/>
        </w:numPr>
        <w:jc w:val="both"/>
        <w:rPr>
          <w:b/>
          <w:i/>
          <w:color w:val="000000"/>
        </w:rPr>
      </w:pPr>
      <w:r w:rsidRPr="00A460E2">
        <w:rPr>
          <w:b/>
          <w:i/>
          <w:color w:val="000000"/>
        </w:rPr>
        <w:t>No A-MPR is needed for PC 3.</w:t>
      </w:r>
    </w:p>
    <w:p w14:paraId="4904BEC9" w14:textId="77777777" w:rsidR="00EF3935" w:rsidRPr="00A460E2" w:rsidRDefault="00EF3935" w:rsidP="00EF3935">
      <w:pPr>
        <w:pStyle w:val="ListParagraph"/>
        <w:numPr>
          <w:ilvl w:val="0"/>
          <w:numId w:val="49"/>
        </w:numPr>
        <w:jc w:val="both"/>
        <w:rPr>
          <w:b/>
          <w:i/>
          <w:color w:val="000000"/>
        </w:rPr>
      </w:pPr>
      <w:r w:rsidRPr="00A460E2">
        <w:rPr>
          <w:b/>
          <w:i/>
          <w:color w:val="000000"/>
        </w:rPr>
        <w:t>A-MPR up to 2dB might be required for PC 1.</w:t>
      </w:r>
    </w:p>
    <w:p w14:paraId="716D1A61" w14:textId="1B5F7FB2" w:rsidR="00E322D7" w:rsidRPr="00ED000E" w:rsidRDefault="00E322D7" w:rsidP="00ED000E">
      <w:pPr>
        <w:jc w:val="both"/>
        <w:rPr>
          <w:color w:val="000000"/>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2F7F04B" w14:textId="10592305" w:rsidR="00DE3A64" w:rsidRPr="00A460E2" w:rsidRDefault="00DE3A64" w:rsidP="00A460E2">
      <w:pPr>
        <w:pStyle w:val="ListParagraph"/>
        <w:numPr>
          <w:ilvl w:val="0"/>
          <w:numId w:val="2"/>
        </w:numPr>
        <w:jc w:val="both"/>
        <w:rPr>
          <w:lang w:val="en-US"/>
        </w:rPr>
      </w:pPr>
      <w:bookmarkStart w:id="8" w:name="_Ref520215594"/>
      <w:bookmarkStart w:id="9" w:name="_Ref510622279"/>
      <w:bookmarkStart w:id="10" w:name="_Ref498001918"/>
      <w:bookmarkStart w:id="11" w:name="_Ref489522242"/>
      <w:bookmarkStart w:id="12" w:name="_Ref489521993"/>
      <w:bookmarkStart w:id="13" w:name="_Ref481663184"/>
      <w:bookmarkStart w:id="14" w:name="_Ref473813022"/>
      <w:bookmarkStart w:id="15" w:name="_Ref465947019"/>
      <w:r w:rsidRPr="00A460E2">
        <w:rPr>
          <w:lang w:val="en-US"/>
        </w:rPr>
        <w:t xml:space="preserve">ECC Dec (18)06, </w:t>
      </w:r>
      <w:proofErr w:type="spellStart"/>
      <w:r w:rsidRPr="00A460E2">
        <w:rPr>
          <w:lang w:val="en-US"/>
        </w:rPr>
        <w:t>Harmonised</w:t>
      </w:r>
      <w:proofErr w:type="spellEnd"/>
      <w:r w:rsidRPr="00A460E2">
        <w:rPr>
          <w:lang w:val="en-US"/>
        </w:rPr>
        <w:t xml:space="preserve"> technical conditions for Mobile/Fixed Communications Networks (MFCN) in the band</w:t>
      </w:r>
      <w:r>
        <w:rPr>
          <w:lang w:val="en-US"/>
        </w:rPr>
        <w:t xml:space="preserve"> </w:t>
      </w:r>
      <w:r w:rsidRPr="00A460E2">
        <w:rPr>
          <w:lang w:val="en-US"/>
        </w:rPr>
        <w:t>24.25-27.5 GHz</w:t>
      </w:r>
      <w:r>
        <w:rPr>
          <w:lang w:val="en-US"/>
        </w:rPr>
        <w:t>.</w:t>
      </w:r>
      <w:bookmarkEnd w:id="8"/>
    </w:p>
    <w:p w14:paraId="6BC26B9E" w14:textId="4F64B1B4" w:rsidR="00DE3A64" w:rsidRDefault="00DE3A64" w:rsidP="00DE3A64">
      <w:pPr>
        <w:pStyle w:val="ListParagraph"/>
        <w:numPr>
          <w:ilvl w:val="0"/>
          <w:numId w:val="2"/>
        </w:numPr>
        <w:jc w:val="both"/>
        <w:rPr>
          <w:lang w:val="en-US"/>
        </w:rPr>
      </w:pPr>
      <w:bookmarkStart w:id="16" w:name="_Ref520215609"/>
      <w:r>
        <w:rPr>
          <w:lang w:val="en-US"/>
        </w:rPr>
        <w:t>R4-1804659, “</w:t>
      </w:r>
      <w:r w:rsidRPr="00DE3A64">
        <w:rPr>
          <w:lang w:val="en-US"/>
        </w:rPr>
        <w:t>UE power back-off for protection of passive services</w:t>
      </w:r>
      <w:r>
        <w:rPr>
          <w:lang w:val="en-US"/>
        </w:rPr>
        <w:t>”, Qualcomm Incorporated.</w:t>
      </w:r>
      <w:bookmarkEnd w:id="16"/>
    </w:p>
    <w:p w14:paraId="50FD7C06" w14:textId="77777777" w:rsidR="00CE379E" w:rsidRDefault="00CE379E" w:rsidP="00CE379E">
      <w:pPr>
        <w:pStyle w:val="ListParagraph"/>
        <w:numPr>
          <w:ilvl w:val="0"/>
          <w:numId w:val="2"/>
        </w:numPr>
        <w:jc w:val="both"/>
        <w:rPr>
          <w:lang w:val="en-US"/>
        </w:rPr>
      </w:pPr>
      <w:bookmarkStart w:id="17" w:name="_Ref521689525"/>
      <w:r w:rsidRPr="00F35D05">
        <w:rPr>
          <w:lang w:val="en-US"/>
        </w:rPr>
        <w:t>R4-1806694</w:t>
      </w:r>
      <w:r>
        <w:rPr>
          <w:lang w:val="en-US"/>
        </w:rPr>
        <w:t>, “</w:t>
      </w:r>
      <w:r w:rsidRPr="00DA127C">
        <w:rPr>
          <w:lang w:val="en-US"/>
        </w:rPr>
        <w:t>[NR FR2] Need for A-MPR Studies Related to Spurious Emissions and EESS Protection</w:t>
      </w:r>
      <w:r>
        <w:rPr>
          <w:lang w:val="en-US"/>
        </w:rPr>
        <w:t>”, Skyworks Solutions Inc.</w:t>
      </w:r>
      <w:bookmarkEnd w:id="17"/>
    </w:p>
    <w:p w14:paraId="21BCAF52" w14:textId="68D0B66B" w:rsidR="002C4A5A" w:rsidRDefault="00BE3567" w:rsidP="002C4A5A">
      <w:pPr>
        <w:pStyle w:val="ListParagraph"/>
        <w:numPr>
          <w:ilvl w:val="0"/>
          <w:numId w:val="2"/>
        </w:numPr>
        <w:adjustRightInd/>
        <w:jc w:val="both"/>
        <w:textAlignment w:val="auto"/>
        <w:rPr>
          <w:lang w:val="en-US"/>
        </w:rPr>
      </w:pPr>
      <w:bookmarkStart w:id="18" w:name="_Ref521689389"/>
      <w:r w:rsidRPr="00BE3567">
        <w:rPr>
          <w:lang w:val="en-US"/>
        </w:rPr>
        <w:t>R4-1810885</w:t>
      </w:r>
      <w:r w:rsidR="002C4A5A">
        <w:rPr>
          <w:lang w:val="en-US"/>
        </w:rPr>
        <w:t>, “</w:t>
      </w:r>
      <w:r w:rsidR="002C4A5A" w:rsidRPr="002C4A5A">
        <w:rPr>
          <w:lang w:val="en-US"/>
        </w:rPr>
        <w:t>Draft CR to 38.101-2: On FR2 MPR for single CC PC1 and PC3</w:t>
      </w:r>
      <w:r w:rsidR="002C4A5A">
        <w:rPr>
          <w:lang w:val="en-US"/>
        </w:rPr>
        <w:t>”.</w:t>
      </w:r>
      <w:bookmarkEnd w:id="18"/>
    </w:p>
    <w:p w14:paraId="6D39606F" w14:textId="50F9F181" w:rsidR="00BE3567" w:rsidRPr="00BE3567" w:rsidRDefault="00BE3567" w:rsidP="002C4A5A">
      <w:pPr>
        <w:pStyle w:val="ListParagraph"/>
        <w:numPr>
          <w:ilvl w:val="0"/>
          <w:numId w:val="2"/>
        </w:numPr>
        <w:adjustRightInd/>
        <w:jc w:val="both"/>
        <w:textAlignment w:val="auto"/>
        <w:rPr>
          <w:lang w:val="en-US"/>
        </w:rPr>
      </w:pPr>
      <w:bookmarkStart w:id="19" w:name="_Ref521689391"/>
      <w:r w:rsidRPr="00BE3567">
        <w:rPr>
          <w:lang w:val="en-US"/>
        </w:rPr>
        <w:t>R4-1810886, “</w:t>
      </w:r>
      <w:r w:rsidR="002C4A5A" w:rsidRPr="002C4A5A">
        <w:rPr>
          <w:lang w:val="en-US"/>
        </w:rPr>
        <w:t>Draft CR to 38.101-2: On FR2 CA MPR</w:t>
      </w:r>
      <w:r w:rsidRPr="00BE3567">
        <w:rPr>
          <w:lang w:val="en-US"/>
        </w:rPr>
        <w:t>”, Qualcomm Incorporated.</w:t>
      </w:r>
      <w:bookmarkEnd w:id="19"/>
    </w:p>
    <w:p w14:paraId="4D356980" w14:textId="3DE68E7F" w:rsidR="00BE3567" w:rsidRDefault="00BE3567" w:rsidP="002C4A5A">
      <w:pPr>
        <w:pStyle w:val="ListParagraph"/>
        <w:numPr>
          <w:ilvl w:val="0"/>
          <w:numId w:val="2"/>
        </w:numPr>
        <w:adjustRightInd/>
        <w:jc w:val="both"/>
        <w:textAlignment w:val="auto"/>
        <w:rPr>
          <w:lang w:val="en-US"/>
        </w:rPr>
      </w:pPr>
      <w:bookmarkStart w:id="20" w:name="_Ref521689394"/>
      <w:r w:rsidRPr="00BE3567">
        <w:rPr>
          <w:lang w:val="en-US"/>
        </w:rPr>
        <w:t>R4-1810887, “</w:t>
      </w:r>
      <w:r w:rsidR="002C4A5A" w:rsidRPr="002C4A5A">
        <w:rPr>
          <w:lang w:val="en-US"/>
        </w:rPr>
        <w:t>Draft CR to 38.101-2: On FR2 MPR for single CC PC1</w:t>
      </w:r>
      <w:r w:rsidRPr="00BE3567">
        <w:rPr>
          <w:lang w:val="en-US"/>
        </w:rPr>
        <w:t>”, Qualcomm Incorporated.</w:t>
      </w:r>
      <w:bookmarkEnd w:id="20"/>
    </w:p>
    <w:p w14:paraId="756173F8" w14:textId="2F66F42B" w:rsidR="002C4A5A" w:rsidRPr="00BE3567" w:rsidRDefault="002C4A5A" w:rsidP="002C4A5A">
      <w:pPr>
        <w:pStyle w:val="ListParagraph"/>
        <w:numPr>
          <w:ilvl w:val="0"/>
          <w:numId w:val="2"/>
        </w:numPr>
        <w:adjustRightInd/>
        <w:jc w:val="both"/>
        <w:textAlignment w:val="auto"/>
        <w:rPr>
          <w:lang w:val="en-US"/>
        </w:rPr>
      </w:pPr>
      <w:bookmarkStart w:id="21" w:name="_Ref521689395"/>
      <w:r w:rsidRPr="00BE3567">
        <w:rPr>
          <w:lang w:val="en-US"/>
        </w:rPr>
        <w:t>R4-181088</w:t>
      </w:r>
      <w:r>
        <w:rPr>
          <w:lang w:val="en-US"/>
        </w:rPr>
        <w:t>9</w:t>
      </w:r>
      <w:r w:rsidRPr="00BE3567">
        <w:rPr>
          <w:lang w:val="en-US"/>
        </w:rPr>
        <w:t>, “</w:t>
      </w:r>
      <w:r w:rsidRPr="002C4A5A">
        <w:rPr>
          <w:lang w:val="en-US"/>
        </w:rPr>
        <w:t>Draft CR to 38.101-2: On FR2 MPR for single CC PC3</w:t>
      </w:r>
      <w:r w:rsidRPr="00BE3567">
        <w:rPr>
          <w:lang w:val="en-US"/>
        </w:rPr>
        <w:t>”, Qualcomm Incorporated.</w:t>
      </w:r>
      <w:bookmarkEnd w:id="21"/>
    </w:p>
    <w:bookmarkEnd w:id="9"/>
    <w:bookmarkEnd w:id="10"/>
    <w:bookmarkEnd w:id="11"/>
    <w:bookmarkEnd w:id="12"/>
    <w:bookmarkEnd w:id="13"/>
    <w:bookmarkEnd w:id="14"/>
    <w:bookmarkEnd w:id="15"/>
    <w:p w14:paraId="6E784768" w14:textId="356A4AD9" w:rsidR="009D3184" w:rsidRPr="00F83DB9" w:rsidRDefault="009D3184" w:rsidP="002D2173">
      <w:pPr>
        <w:pStyle w:val="ListParagraph"/>
        <w:ind w:left="360"/>
        <w:jc w:val="both"/>
        <w:rPr>
          <w:lang w:val="en-US"/>
        </w:rPr>
      </w:pPr>
    </w:p>
    <w:sectPr w:rsidR="009D3184" w:rsidRPr="00F83DB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83F7E" w14:textId="77777777" w:rsidR="006B05F9" w:rsidRDefault="006B05F9">
      <w:r>
        <w:separator/>
      </w:r>
    </w:p>
  </w:endnote>
  <w:endnote w:type="continuationSeparator" w:id="0">
    <w:p w14:paraId="6B581FF5" w14:textId="77777777" w:rsidR="006B05F9" w:rsidRDefault="006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F97FB" w14:textId="77777777" w:rsidR="006B05F9" w:rsidRDefault="006B05F9">
      <w:r>
        <w:separator/>
      </w:r>
    </w:p>
  </w:footnote>
  <w:footnote w:type="continuationSeparator" w:id="0">
    <w:p w14:paraId="2D5C2FF3" w14:textId="77777777" w:rsidR="006B05F9" w:rsidRDefault="006B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32E4F"/>
    <w:multiLevelType w:val="hybridMultilevel"/>
    <w:tmpl w:val="8756886E"/>
    <w:lvl w:ilvl="0" w:tplc="44167E50">
      <w:start w:val="1"/>
      <w:numFmt w:val="bullet"/>
      <w:lvlText w:val="n"/>
      <w:lvlJc w:val="left"/>
      <w:pPr>
        <w:tabs>
          <w:tab w:val="num" w:pos="720"/>
        </w:tabs>
        <w:ind w:left="720" w:hanging="360"/>
      </w:pPr>
      <w:rPr>
        <w:rFonts w:ascii="Calibri" w:hAnsi="Calibri" w:hint="default"/>
      </w:rPr>
    </w:lvl>
    <w:lvl w:ilvl="1" w:tplc="6B0ACA76" w:tentative="1">
      <w:start w:val="1"/>
      <w:numFmt w:val="bullet"/>
      <w:lvlText w:val="n"/>
      <w:lvlJc w:val="left"/>
      <w:pPr>
        <w:tabs>
          <w:tab w:val="num" w:pos="1440"/>
        </w:tabs>
        <w:ind w:left="1440" w:hanging="360"/>
      </w:pPr>
      <w:rPr>
        <w:rFonts w:ascii="Calibri" w:hAnsi="Calibri" w:hint="default"/>
      </w:rPr>
    </w:lvl>
    <w:lvl w:ilvl="2" w:tplc="C7302A1C" w:tentative="1">
      <w:start w:val="1"/>
      <w:numFmt w:val="bullet"/>
      <w:lvlText w:val="n"/>
      <w:lvlJc w:val="left"/>
      <w:pPr>
        <w:tabs>
          <w:tab w:val="num" w:pos="2160"/>
        </w:tabs>
        <w:ind w:left="2160" w:hanging="360"/>
      </w:pPr>
      <w:rPr>
        <w:rFonts w:ascii="Calibri" w:hAnsi="Calibri" w:hint="default"/>
      </w:rPr>
    </w:lvl>
    <w:lvl w:ilvl="3" w:tplc="F7F8A1F4" w:tentative="1">
      <w:start w:val="1"/>
      <w:numFmt w:val="bullet"/>
      <w:lvlText w:val="n"/>
      <w:lvlJc w:val="left"/>
      <w:pPr>
        <w:tabs>
          <w:tab w:val="num" w:pos="2880"/>
        </w:tabs>
        <w:ind w:left="2880" w:hanging="360"/>
      </w:pPr>
      <w:rPr>
        <w:rFonts w:ascii="Calibri" w:hAnsi="Calibri" w:hint="default"/>
      </w:rPr>
    </w:lvl>
    <w:lvl w:ilvl="4" w:tplc="B1AA6BE0" w:tentative="1">
      <w:start w:val="1"/>
      <w:numFmt w:val="bullet"/>
      <w:lvlText w:val="n"/>
      <w:lvlJc w:val="left"/>
      <w:pPr>
        <w:tabs>
          <w:tab w:val="num" w:pos="3600"/>
        </w:tabs>
        <w:ind w:left="3600" w:hanging="360"/>
      </w:pPr>
      <w:rPr>
        <w:rFonts w:ascii="Calibri" w:hAnsi="Calibri" w:hint="default"/>
      </w:rPr>
    </w:lvl>
    <w:lvl w:ilvl="5" w:tplc="E88C0780" w:tentative="1">
      <w:start w:val="1"/>
      <w:numFmt w:val="bullet"/>
      <w:lvlText w:val="n"/>
      <w:lvlJc w:val="left"/>
      <w:pPr>
        <w:tabs>
          <w:tab w:val="num" w:pos="4320"/>
        </w:tabs>
        <w:ind w:left="4320" w:hanging="360"/>
      </w:pPr>
      <w:rPr>
        <w:rFonts w:ascii="Calibri" w:hAnsi="Calibri" w:hint="default"/>
      </w:rPr>
    </w:lvl>
    <w:lvl w:ilvl="6" w:tplc="35B6139C" w:tentative="1">
      <w:start w:val="1"/>
      <w:numFmt w:val="bullet"/>
      <w:lvlText w:val="n"/>
      <w:lvlJc w:val="left"/>
      <w:pPr>
        <w:tabs>
          <w:tab w:val="num" w:pos="5040"/>
        </w:tabs>
        <w:ind w:left="5040" w:hanging="360"/>
      </w:pPr>
      <w:rPr>
        <w:rFonts w:ascii="Calibri" w:hAnsi="Calibri" w:hint="default"/>
      </w:rPr>
    </w:lvl>
    <w:lvl w:ilvl="7" w:tplc="AAD66370" w:tentative="1">
      <w:start w:val="1"/>
      <w:numFmt w:val="bullet"/>
      <w:lvlText w:val="n"/>
      <w:lvlJc w:val="left"/>
      <w:pPr>
        <w:tabs>
          <w:tab w:val="num" w:pos="5760"/>
        </w:tabs>
        <w:ind w:left="5760" w:hanging="360"/>
      </w:pPr>
      <w:rPr>
        <w:rFonts w:ascii="Calibri" w:hAnsi="Calibri" w:hint="default"/>
      </w:rPr>
    </w:lvl>
    <w:lvl w:ilvl="8" w:tplc="33A6E110" w:tentative="1">
      <w:start w:val="1"/>
      <w:numFmt w:val="bullet"/>
      <w:lvlText w:val="n"/>
      <w:lvlJc w:val="left"/>
      <w:pPr>
        <w:tabs>
          <w:tab w:val="num" w:pos="6480"/>
        </w:tabs>
        <w:ind w:left="6480" w:hanging="360"/>
      </w:pPr>
      <w:rPr>
        <w:rFonts w:ascii="Calibri" w:hAnsi="Calibri"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C1718"/>
    <w:multiLevelType w:val="hybridMultilevel"/>
    <w:tmpl w:val="36DACCB6"/>
    <w:lvl w:ilvl="0" w:tplc="DCFE832A">
      <w:start w:val="1"/>
      <w:numFmt w:val="bullet"/>
      <w:lvlText w:val="•"/>
      <w:lvlJc w:val="left"/>
      <w:pPr>
        <w:tabs>
          <w:tab w:val="num" w:pos="720"/>
        </w:tabs>
        <w:ind w:left="720" w:hanging="360"/>
      </w:pPr>
      <w:rPr>
        <w:rFonts w:ascii="Microsoft Sans Serif" w:hAnsi="Microsoft Sans Serif" w:hint="default"/>
      </w:rPr>
    </w:lvl>
    <w:lvl w:ilvl="1" w:tplc="5A3AF83A" w:tentative="1">
      <w:start w:val="1"/>
      <w:numFmt w:val="bullet"/>
      <w:lvlText w:val="•"/>
      <w:lvlJc w:val="left"/>
      <w:pPr>
        <w:tabs>
          <w:tab w:val="num" w:pos="1440"/>
        </w:tabs>
        <w:ind w:left="1440" w:hanging="360"/>
      </w:pPr>
      <w:rPr>
        <w:rFonts w:ascii="Microsoft Sans Serif" w:hAnsi="Microsoft Sans Serif" w:hint="default"/>
      </w:rPr>
    </w:lvl>
    <w:lvl w:ilvl="2" w:tplc="542C833C">
      <w:start w:val="1"/>
      <w:numFmt w:val="bullet"/>
      <w:lvlText w:val="•"/>
      <w:lvlJc w:val="left"/>
      <w:pPr>
        <w:tabs>
          <w:tab w:val="num" w:pos="2160"/>
        </w:tabs>
        <w:ind w:left="2160" w:hanging="360"/>
      </w:pPr>
      <w:rPr>
        <w:rFonts w:ascii="Microsoft Sans Serif" w:hAnsi="Microsoft Sans Serif" w:hint="default"/>
      </w:rPr>
    </w:lvl>
    <w:lvl w:ilvl="3" w:tplc="1220B3EC">
      <w:start w:val="206"/>
      <w:numFmt w:val="bullet"/>
      <w:lvlText w:val="◦"/>
      <w:lvlJc w:val="left"/>
      <w:pPr>
        <w:tabs>
          <w:tab w:val="num" w:pos="2880"/>
        </w:tabs>
        <w:ind w:left="2880" w:hanging="360"/>
      </w:pPr>
      <w:rPr>
        <w:rFonts w:ascii="Microsoft Sans Serif" w:hAnsi="Microsoft Sans Serif" w:hint="default"/>
      </w:rPr>
    </w:lvl>
    <w:lvl w:ilvl="4" w:tplc="F5AED62E" w:tentative="1">
      <w:start w:val="1"/>
      <w:numFmt w:val="bullet"/>
      <w:lvlText w:val="•"/>
      <w:lvlJc w:val="left"/>
      <w:pPr>
        <w:tabs>
          <w:tab w:val="num" w:pos="3600"/>
        </w:tabs>
        <w:ind w:left="3600" w:hanging="360"/>
      </w:pPr>
      <w:rPr>
        <w:rFonts w:ascii="Microsoft Sans Serif" w:hAnsi="Microsoft Sans Serif" w:hint="default"/>
      </w:rPr>
    </w:lvl>
    <w:lvl w:ilvl="5" w:tplc="5C9AD510" w:tentative="1">
      <w:start w:val="1"/>
      <w:numFmt w:val="bullet"/>
      <w:lvlText w:val="•"/>
      <w:lvlJc w:val="left"/>
      <w:pPr>
        <w:tabs>
          <w:tab w:val="num" w:pos="4320"/>
        </w:tabs>
        <w:ind w:left="4320" w:hanging="360"/>
      </w:pPr>
      <w:rPr>
        <w:rFonts w:ascii="Microsoft Sans Serif" w:hAnsi="Microsoft Sans Serif" w:hint="default"/>
      </w:rPr>
    </w:lvl>
    <w:lvl w:ilvl="6" w:tplc="3E26C97E" w:tentative="1">
      <w:start w:val="1"/>
      <w:numFmt w:val="bullet"/>
      <w:lvlText w:val="•"/>
      <w:lvlJc w:val="left"/>
      <w:pPr>
        <w:tabs>
          <w:tab w:val="num" w:pos="5040"/>
        </w:tabs>
        <w:ind w:left="5040" w:hanging="360"/>
      </w:pPr>
      <w:rPr>
        <w:rFonts w:ascii="Microsoft Sans Serif" w:hAnsi="Microsoft Sans Serif" w:hint="default"/>
      </w:rPr>
    </w:lvl>
    <w:lvl w:ilvl="7" w:tplc="85B6397E" w:tentative="1">
      <w:start w:val="1"/>
      <w:numFmt w:val="bullet"/>
      <w:lvlText w:val="•"/>
      <w:lvlJc w:val="left"/>
      <w:pPr>
        <w:tabs>
          <w:tab w:val="num" w:pos="5760"/>
        </w:tabs>
        <w:ind w:left="5760" w:hanging="360"/>
      </w:pPr>
      <w:rPr>
        <w:rFonts w:ascii="Microsoft Sans Serif" w:hAnsi="Microsoft Sans Serif" w:hint="default"/>
      </w:rPr>
    </w:lvl>
    <w:lvl w:ilvl="8" w:tplc="005AE390"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F7198"/>
    <w:multiLevelType w:val="hybridMultilevel"/>
    <w:tmpl w:val="66B25B8A"/>
    <w:lvl w:ilvl="0" w:tplc="04100001">
      <w:start w:val="1"/>
      <w:numFmt w:val="bullet"/>
      <w:lvlText w:val=""/>
      <w:lvlJc w:val="left"/>
      <w:pPr>
        <w:ind w:left="770" w:hanging="360"/>
      </w:pPr>
      <w:rPr>
        <w:rFonts w:ascii="Symbol" w:hAnsi="Symbol" w:hint="default"/>
      </w:rPr>
    </w:lvl>
    <w:lvl w:ilvl="1" w:tplc="04100003">
      <w:start w:val="1"/>
      <w:numFmt w:val="bullet"/>
      <w:lvlText w:val="o"/>
      <w:lvlJc w:val="left"/>
      <w:pPr>
        <w:ind w:left="1490" w:hanging="360"/>
      </w:pPr>
      <w:rPr>
        <w:rFonts w:ascii="Courier New" w:hAnsi="Courier New" w:cs="Courier New" w:hint="default"/>
      </w:rPr>
    </w:lvl>
    <w:lvl w:ilvl="2" w:tplc="04100005">
      <w:start w:val="1"/>
      <w:numFmt w:val="bullet"/>
      <w:lvlText w:val=""/>
      <w:lvlJc w:val="left"/>
      <w:pPr>
        <w:ind w:left="2210" w:hanging="360"/>
      </w:pPr>
      <w:rPr>
        <w:rFonts w:ascii="Wingdings" w:hAnsi="Wingdings" w:hint="default"/>
      </w:rPr>
    </w:lvl>
    <w:lvl w:ilvl="3" w:tplc="0410000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C334A"/>
    <w:multiLevelType w:val="hybridMultilevel"/>
    <w:tmpl w:val="B2D2CA96"/>
    <w:lvl w:ilvl="0" w:tplc="5540DD82">
      <w:start w:val="1"/>
      <w:numFmt w:val="bullet"/>
      <w:lvlText w:val="S"/>
      <w:lvlJc w:val="left"/>
      <w:pPr>
        <w:tabs>
          <w:tab w:val="num" w:pos="720"/>
        </w:tabs>
        <w:ind w:left="720" w:hanging="360"/>
      </w:pPr>
      <w:rPr>
        <w:rFonts w:ascii="Calibri" w:hAnsi="Calibri" w:hint="default"/>
      </w:rPr>
    </w:lvl>
    <w:lvl w:ilvl="1" w:tplc="8902B4CA" w:tentative="1">
      <w:start w:val="1"/>
      <w:numFmt w:val="bullet"/>
      <w:lvlText w:val="S"/>
      <w:lvlJc w:val="left"/>
      <w:pPr>
        <w:tabs>
          <w:tab w:val="num" w:pos="1440"/>
        </w:tabs>
        <w:ind w:left="1440" w:hanging="360"/>
      </w:pPr>
      <w:rPr>
        <w:rFonts w:ascii="Calibri" w:hAnsi="Calibri" w:hint="default"/>
      </w:rPr>
    </w:lvl>
    <w:lvl w:ilvl="2" w:tplc="571EAD34" w:tentative="1">
      <w:start w:val="1"/>
      <w:numFmt w:val="bullet"/>
      <w:lvlText w:val="S"/>
      <w:lvlJc w:val="left"/>
      <w:pPr>
        <w:tabs>
          <w:tab w:val="num" w:pos="2160"/>
        </w:tabs>
        <w:ind w:left="2160" w:hanging="360"/>
      </w:pPr>
      <w:rPr>
        <w:rFonts w:ascii="Calibri" w:hAnsi="Calibri" w:hint="default"/>
      </w:rPr>
    </w:lvl>
    <w:lvl w:ilvl="3" w:tplc="119AAFA4" w:tentative="1">
      <w:start w:val="1"/>
      <w:numFmt w:val="bullet"/>
      <w:lvlText w:val="S"/>
      <w:lvlJc w:val="left"/>
      <w:pPr>
        <w:tabs>
          <w:tab w:val="num" w:pos="2880"/>
        </w:tabs>
        <w:ind w:left="2880" w:hanging="360"/>
      </w:pPr>
      <w:rPr>
        <w:rFonts w:ascii="Calibri" w:hAnsi="Calibri" w:hint="default"/>
      </w:rPr>
    </w:lvl>
    <w:lvl w:ilvl="4" w:tplc="9C5AC416" w:tentative="1">
      <w:start w:val="1"/>
      <w:numFmt w:val="bullet"/>
      <w:lvlText w:val="S"/>
      <w:lvlJc w:val="left"/>
      <w:pPr>
        <w:tabs>
          <w:tab w:val="num" w:pos="3600"/>
        </w:tabs>
        <w:ind w:left="3600" w:hanging="360"/>
      </w:pPr>
      <w:rPr>
        <w:rFonts w:ascii="Calibri" w:hAnsi="Calibri" w:hint="default"/>
      </w:rPr>
    </w:lvl>
    <w:lvl w:ilvl="5" w:tplc="1D76A822" w:tentative="1">
      <w:start w:val="1"/>
      <w:numFmt w:val="bullet"/>
      <w:lvlText w:val="S"/>
      <w:lvlJc w:val="left"/>
      <w:pPr>
        <w:tabs>
          <w:tab w:val="num" w:pos="4320"/>
        </w:tabs>
        <w:ind w:left="4320" w:hanging="360"/>
      </w:pPr>
      <w:rPr>
        <w:rFonts w:ascii="Calibri" w:hAnsi="Calibri" w:hint="default"/>
      </w:rPr>
    </w:lvl>
    <w:lvl w:ilvl="6" w:tplc="B90ED94E" w:tentative="1">
      <w:start w:val="1"/>
      <w:numFmt w:val="bullet"/>
      <w:lvlText w:val="S"/>
      <w:lvlJc w:val="left"/>
      <w:pPr>
        <w:tabs>
          <w:tab w:val="num" w:pos="5040"/>
        </w:tabs>
        <w:ind w:left="5040" w:hanging="360"/>
      </w:pPr>
      <w:rPr>
        <w:rFonts w:ascii="Calibri" w:hAnsi="Calibri" w:hint="default"/>
      </w:rPr>
    </w:lvl>
    <w:lvl w:ilvl="7" w:tplc="1E1C5BA2" w:tentative="1">
      <w:start w:val="1"/>
      <w:numFmt w:val="bullet"/>
      <w:lvlText w:val="S"/>
      <w:lvlJc w:val="left"/>
      <w:pPr>
        <w:tabs>
          <w:tab w:val="num" w:pos="5760"/>
        </w:tabs>
        <w:ind w:left="5760" w:hanging="360"/>
      </w:pPr>
      <w:rPr>
        <w:rFonts w:ascii="Calibri" w:hAnsi="Calibri" w:hint="default"/>
      </w:rPr>
    </w:lvl>
    <w:lvl w:ilvl="8" w:tplc="E1A4E548" w:tentative="1">
      <w:start w:val="1"/>
      <w:numFmt w:val="bullet"/>
      <w:lvlText w:val="S"/>
      <w:lvlJc w:val="left"/>
      <w:pPr>
        <w:tabs>
          <w:tab w:val="num" w:pos="6480"/>
        </w:tabs>
        <w:ind w:left="6480" w:hanging="360"/>
      </w:pPr>
      <w:rPr>
        <w:rFonts w:ascii="Calibri" w:hAnsi="Calibri" w:hint="default"/>
      </w:rPr>
    </w:lvl>
  </w:abstractNum>
  <w:abstractNum w:abstractNumId="26"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0425E"/>
    <w:multiLevelType w:val="hybridMultilevel"/>
    <w:tmpl w:val="86DC07E4"/>
    <w:lvl w:ilvl="0" w:tplc="312235B8">
      <w:start w:val="1"/>
      <w:numFmt w:val="bullet"/>
      <w:lvlText w:val="S"/>
      <w:lvlJc w:val="left"/>
      <w:pPr>
        <w:tabs>
          <w:tab w:val="num" w:pos="720"/>
        </w:tabs>
        <w:ind w:left="720" w:hanging="360"/>
      </w:pPr>
      <w:rPr>
        <w:rFonts w:ascii="Calibri" w:hAnsi="Calibri" w:hint="default"/>
      </w:rPr>
    </w:lvl>
    <w:lvl w:ilvl="1" w:tplc="32A41274" w:tentative="1">
      <w:start w:val="1"/>
      <w:numFmt w:val="bullet"/>
      <w:lvlText w:val="S"/>
      <w:lvlJc w:val="left"/>
      <w:pPr>
        <w:tabs>
          <w:tab w:val="num" w:pos="1440"/>
        </w:tabs>
        <w:ind w:left="1440" w:hanging="360"/>
      </w:pPr>
      <w:rPr>
        <w:rFonts w:ascii="Calibri" w:hAnsi="Calibri" w:hint="default"/>
      </w:rPr>
    </w:lvl>
    <w:lvl w:ilvl="2" w:tplc="3C04C89E" w:tentative="1">
      <w:start w:val="1"/>
      <w:numFmt w:val="bullet"/>
      <w:lvlText w:val="S"/>
      <w:lvlJc w:val="left"/>
      <w:pPr>
        <w:tabs>
          <w:tab w:val="num" w:pos="2160"/>
        </w:tabs>
        <w:ind w:left="2160" w:hanging="360"/>
      </w:pPr>
      <w:rPr>
        <w:rFonts w:ascii="Calibri" w:hAnsi="Calibri" w:hint="default"/>
      </w:rPr>
    </w:lvl>
    <w:lvl w:ilvl="3" w:tplc="F8161712" w:tentative="1">
      <w:start w:val="1"/>
      <w:numFmt w:val="bullet"/>
      <w:lvlText w:val="S"/>
      <w:lvlJc w:val="left"/>
      <w:pPr>
        <w:tabs>
          <w:tab w:val="num" w:pos="2880"/>
        </w:tabs>
        <w:ind w:left="2880" w:hanging="360"/>
      </w:pPr>
      <w:rPr>
        <w:rFonts w:ascii="Calibri" w:hAnsi="Calibri" w:hint="default"/>
      </w:rPr>
    </w:lvl>
    <w:lvl w:ilvl="4" w:tplc="825A4942" w:tentative="1">
      <w:start w:val="1"/>
      <w:numFmt w:val="bullet"/>
      <w:lvlText w:val="S"/>
      <w:lvlJc w:val="left"/>
      <w:pPr>
        <w:tabs>
          <w:tab w:val="num" w:pos="3600"/>
        </w:tabs>
        <w:ind w:left="3600" w:hanging="360"/>
      </w:pPr>
      <w:rPr>
        <w:rFonts w:ascii="Calibri" w:hAnsi="Calibri" w:hint="default"/>
      </w:rPr>
    </w:lvl>
    <w:lvl w:ilvl="5" w:tplc="FC8C1B5E" w:tentative="1">
      <w:start w:val="1"/>
      <w:numFmt w:val="bullet"/>
      <w:lvlText w:val="S"/>
      <w:lvlJc w:val="left"/>
      <w:pPr>
        <w:tabs>
          <w:tab w:val="num" w:pos="4320"/>
        </w:tabs>
        <w:ind w:left="4320" w:hanging="360"/>
      </w:pPr>
      <w:rPr>
        <w:rFonts w:ascii="Calibri" w:hAnsi="Calibri" w:hint="default"/>
      </w:rPr>
    </w:lvl>
    <w:lvl w:ilvl="6" w:tplc="4F806EB8" w:tentative="1">
      <w:start w:val="1"/>
      <w:numFmt w:val="bullet"/>
      <w:lvlText w:val="S"/>
      <w:lvlJc w:val="left"/>
      <w:pPr>
        <w:tabs>
          <w:tab w:val="num" w:pos="5040"/>
        </w:tabs>
        <w:ind w:left="5040" w:hanging="360"/>
      </w:pPr>
      <w:rPr>
        <w:rFonts w:ascii="Calibri" w:hAnsi="Calibri" w:hint="default"/>
      </w:rPr>
    </w:lvl>
    <w:lvl w:ilvl="7" w:tplc="F45E3A12" w:tentative="1">
      <w:start w:val="1"/>
      <w:numFmt w:val="bullet"/>
      <w:lvlText w:val="S"/>
      <w:lvlJc w:val="left"/>
      <w:pPr>
        <w:tabs>
          <w:tab w:val="num" w:pos="5760"/>
        </w:tabs>
        <w:ind w:left="5760" w:hanging="360"/>
      </w:pPr>
      <w:rPr>
        <w:rFonts w:ascii="Calibri" w:hAnsi="Calibri" w:hint="default"/>
      </w:rPr>
    </w:lvl>
    <w:lvl w:ilvl="8" w:tplc="3B8E40E8" w:tentative="1">
      <w:start w:val="1"/>
      <w:numFmt w:val="bullet"/>
      <w:lvlText w:val="S"/>
      <w:lvlJc w:val="left"/>
      <w:pPr>
        <w:tabs>
          <w:tab w:val="num" w:pos="6480"/>
        </w:tabs>
        <w:ind w:left="6480" w:hanging="360"/>
      </w:pPr>
      <w:rPr>
        <w:rFonts w:ascii="Calibri" w:hAnsi="Calibri"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6AF1558"/>
    <w:multiLevelType w:val="hybridMultilevel"/>
    <w:tmpl w:val="0B9229BC"/>
    <w:lvl w:ilvl="0" w:tplc="81762C40">
      <w:start w:val="1"/>
      <w:numFmt w:val="bullet"/>
      <w:lvlText w:val="n"/>
      <w:lvlJc w:val="left"/>
      <w:pPr>
        <w:tabs>
          <w:tab w:val="num" w:pos="720"/>
        </w:tabs>
        <w:ind w:left="720" w:hanging="360"/>
      </w:pPr>
      <w:rPr>
        <w:rFonts w:ascii="Calibri" w:hAnsi="Calibri" w:hint="default"/>
      </w:rPr>
    </w:lvl>
    <w:lvl w:ilvl="1" w:tplc="F946AC70" w:tentative="1">
      <w:start w:val="1"/>
      <w:numFmt w:val="bullet"/>
      <w:lvlText w:val="n"/>
      <w:lvlJc w:val="left"/>
      <w:pPr>
        <w:tabs>
          <w:tab w:val="num" w:pos="1440"/>
        </w:tabs>
        <w:ind w:left="1440" w:hanging="360"/>
      </w:pPr>
      <w:rPr>
        <w:rFonts w:ascii="Calibri" w:hAnsi="Calibri" w:hint="default"/>
      </w:rPr>
    </w:lvl>
    <w:lvl w:ilvl="2" w:tplc="D242C8F8" w:tentative="1">
      <w:start w:val="1"/>
      <w:numFmt w:val="bullet"/>
      <w:lvlText w:val="n"/>
      <w:lvlJc w:val="left"/>
      <w:pPr>
        <w:tabs>
          <w:tab w:val="num" w:pos="2160"/>
        </w:tabs>
        <w:ind w:left="2160" w:hanging="360"/>
      </w:pPr>
      <w:rPr>
        <w:rFonts w:ascii="Calibri" w:hAnsi="Calibri" w:hint="default"/>
      </w:rPr>
    </w:lvl>
    <w:lvl w:ilvl="3" w:tplc="82E8A572" w:tentative="1">
      <w:start w:val="1"/>
      <w:numFmt w:val="bullet"/>
      <w:lvlText w:val="n"/>
      <w:lvlJc w:val="left"/>
      <w:pPr>
        <w:tabs>
          <w:tab w:val="num" w:pos="2880"/>
        </w:tabs>
        <w:ind w:left="2880" w:hanging="360"/>
      </w:pPr>
      <w:rPr>
        <w:rFonts w:ascii="Calibri" w:hAnsi="Calibri" w:hint="default"/>
      </w:rPr>
    </w:lvl>
    <w:lvl w:ilvl="4" w:tplc="91BEA642" w:tentative="1">
      <w:start w:val="1"/>
      <w:numFmt w:val="bullet"/>
      <w:lvlText w:val="n"/>
      <w:lvlJc w:val="left"/>
      <w:pPr>
        <w:tabs>
          <w:tab w:val="num" w:pos="3600"/>
        </w:tabs>
        <w:ind w:left="3600" w:hanging="360"/>
      </w:pPr>
      <w:rPr>
        <w:rFonts w:ascii="Calibri" w:hAnsi="Calibri" w:hint="default"/>
      </w:rPr>
    </w:lvl>
    <w:lvl w:ilvl="5" w:tplc="B9906D84" w:tentative="1">
      <w:start w:val="1"/>
      <w:numFmt w:val="bullet"/>
      <w:lvlText w:val="n"/>
      <w:lvlJc w:val="left"/>
      <w:pPr>
        <w:tabs>
          <w:tab w:val="num" w:pos="4320"/>
        </w:tabs>
        <w:ind w:left="4320" w:hanging="360"/>
      </w:pPr>
      <w:rPr>
        <w:rFonts w:ascii="Calibri" w:hAnsi="Calibri" w:hint="default"/>
      </w:rPr>
    </w:lvl>
    <w:lvl w:ilvl="6" w:tplc="D0F60212" w:tentative="1">
      <w:start w:val="1"/>
      <w:numFmt w:val="bullet"/>
      <w:lvlText w:val="n"/>
      <w:lvlJc w:val="left"/>
      <w:pPr>
        <w:tabs>
          <w:tab w:val="num" w:pos="5040"/>
        </w:tabs>
        <w:ind w:left="5040" w:hanging="360"/>
      </w:pPr>
      <w:rPr>
        <w:rFonts w:ascii="Calibri" w:hAnsi="Calibri" w:hint="default"/>
      </w:rPr>
    </w:lvl>
    <w:lvl w:ilvl="7" w:tplc="E8406952" w:tentative="1">
      <w:start w:val="1"/>
      <w:numFmt w:val="bullet"/>
      <w:lvlText w:val="n"/>
      <w:lvlJc w:val="left"/>
      <w:pPr>
        <w:tabs>
          <w:tab w:val="num" w:pos="5760"/>
        </w:tabs>
        <w:ind w:left="5760" w:hanging="360"/>
      </w:pPr>
      <w:rPr>
        <w:rFonts w:ascii="Calibri" w:hAnsi="Calibri" w:hint="default"/>
      </w:rPr>
    </w:lvl>
    <w:lvl w:ilvl="8" w:tplc="0CE4CBF0" w:tentative="1">
      <w:start w:val="1"/>
      <w:numFmt w:val="bullet"/>
      <w:lvlText w:val="n"/>
      <w:lvlJc w:val="left"/>
      <w:pPr>
        <w:tabs>
          <w:tab w:val="num" w:pos="6480"/>
        </w:tabs>
        <w:ind w:left="6480" w:hanging="360"/>
      </w:pPr>
      <w:rPr>
        <w:rFonts w:ascii="Calibri" w:hAnsi="Calibri" w:hint="default"/>
      </w:rPr>
    </w:lvl>
  </w:abstractNum>
  <w:abstractNum w:abstractNumId="37" w15:restartNumberingAfterBreak="0">
    <w:nsid w:val="68926D3E"/>
    <w:multiLevelType w:val="hybridMultilevel"/>
    <w:tmpl w:val="62FA65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63F65"/>
    <w:multiLevelType w:val="hybridMultilevel"/>
    <w:tmpl w:val="942CD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5"/>
  </w:num>
  <w:num w:numId="3">
    <w:abstractNumId w:val="41"/>
  </w:num>
  <w:num w:numId="4">
    <w:abstractNumId w:val="47"/>
  </w:num>
  <w:num w:numId="5">
    <w:abstractNumId w:val="33"/>
  </w:num>
  <w:num w:numId="6">
    <w:abstractNumId w:val="18"/>
  </w:num>
  <w:num w:numId="7">
    <w:abstractNumId w:val="9"/>
  </w:num>
  <w:num w:numId="8">
    <w:abstractNumId w:val="39"/>
  </w:num>
  <w:num w:numId="9">
    <w:abstractNumId w:val="21"/>
  </w:num>
  <w:num w:numId="10">
    <w:abstractNumId w:val="30"/>
  </w:num>
  <w:num w:numId="11">
    <w:abstractNumId w:val="48"/>
  </w:num>
  <w:num w:numId="12">
    <w:abstractNumId w:val="7"/>
  </w:num>
  <w:num w:numId="13">
    <w:abstractNumId w:val="6"/>
  </w:num>
  <w:num w:numId="14">
    <w:abstractNumId w:val="23"/>
  </w:num>
  <w:num w:numId="15">
    <w:abstractNumId w:val="28"/>
  </w:num>
  <w:num w:numId="16">
    <w:abstractNumId w:val="14"/>
  </w:num>
  <w:num w:numId="17">
    <w:abstractNumId w:val="44"/>
  </w:num>
  <w:num w:numId="18">
    <w:abstractNumId w:val="19"/>
  </w:num>
  <w:num w:numId="19">
    <w:abstractNumId w:val="2"/>
  </w:num>
  <w:num w:numId="20">
    <w:abstractNumId w:val="13"/>
  </w:num>
  <w:num w:numId="21">
    <w:abstractNumId w:val="15"/>
  </w:num>
  <w:num w:numId="22">
    <w:abstractNumId w:val="3"/>
  </w:num>
  <w:num w:numId="23">
    <w:abstractNumId w:val="12"/>
  </w:num>
  <w:num w:numId="24">
    <w:abstractNumId w:val="16"/>
  </w:num>
  <w:num w:numId="25">
    <w:abstractNumId w:val="40"/>
  </w:num>
  <w:num w:numId="26">
    <w:abstractNumId w:val="22"/>
  </w:num>
  <w:num w:numId="27">
    <w:abstractNumId w:val="43"/>
  </w:num>
  <w:num w:numId="28">
    <w:abstractNumId w:val="34"/>
  </w:num>
  <w:num w:numId="29">
    <w:abstractNumId w:val="5"/>
  </w:num>
  <w:num w:numId="30">
    <w:abstractNumId w:val="32"/>
  </w:num>
  <w:num w:numId="31">
    <w:abstractNumId w:val="11"/>
  </w:num>
  <w:num w:numId="32">
    <w:abstractNumId w:val="31"/>
  </w:num>
  <w:num w:numId="33">
    <w:abstractNumId w:val="38"/>
  </w:num>
  <w:num w:numId="34">
    <w:abstractNumId w:val="10"/>
  </w:num>
  <w:num w:numId="35">
    <w:abstractNumId w:val="2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4"/>
  </w:num>
  <w:num w:numId="38">
    <w:abstractNumId w:val="42"/>
  </w:num>
  <w:num w:numId="39">
    <w:abstractNumId w:val="1"/>
  </w:num>
  <w:num w:numId="40">
    <w:abstractNumId w:val="4"/>
  </w:num>
  <w:num w:numId="41">
    <w:abstractNumId w:val="46"/>
  </w:num>
  <w:num w:numId="42">
    <w:abstractNumId w:val="20"/>
  </w:num>
  <w:num w:numId="43">
    <w:abstractNumId w:val="17"/>
  </w:num>
  <w:num w:numId="44">
    <w:abstractNumId w:val="25"/>
  </w:num>
  <w:num w:numId="45">
    <w:abstractNumId w:val="36"/>
  </w:num>
  <w:num w:numId="46">
    <w:abstractNumId w:val="29"/>
  </w:num>
  <w:num w:numId="47">
    <w:abstractNumId w:val="8"/>
  </w:num>
  <w:num w:numId="48">
    <w:abstractNumId w:val="37"/>
  </w:num>
  <w:num w:numId="49">
    <w:abstractNumId w:val="45"/>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2DA9"/>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A5A"/>
    <w:rsid w:val="002C4E58"/>
    <w:rsid w:val="002C4F68"/>
    <w:rsid w:val="002C7B2B"/>
    <w:rsid w:val="002C7C8C"/>
    <w:rsid w:val="002C7CC0"/>
    <w:rsid w:val="002D087B"/>
    <w:rsid w:val="002D0BCE"/>
    <w:rsid w:val="002D0C99"/>
    <w:rsid w:val="002D1DB1"/>
    <w:rsid w:val="002D2173"/>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68C"/>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567"/>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79E"/>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ACD"/>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1BF5"/>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35E0"/>
    <w:rsid w:val="00F8374B"/>
    <w:rsid w:val="00F83D30"/>
    <w:rsid w:val="00F83DB9"/>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2850725">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FFD9F86-C425-4877-B0CE-6558665F5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3</Pages>
  <Words>1132</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10</cp:revision>
  <cp:lastPrinted>2018-04-06T13:43:00Z</cp:lastPrinted>
  <dcterms:created xsi:type="dcterms:W3CDTF">2018-07-24T16:30:00Z</dcterms:created>
  <dcterms:modified xsi:type="dcterms:W3CDTF">2018-08-10T17:39:00Z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